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8C" w:rsidRDefault="00D7008C" w:rsidP="00D7008C">
      <w:pPr>
        <w:pStyle w:val="Title"/>
      </w:pPr>
    </w:p>
    <w:p w:rsidR="00D7008C" w:rsidRDefault="00D7008C" w:rsidP="00D7008C">
      <w:pPr>
        <w:pStyle w:val="Title"/>
      </w:pPr>
    </w:p>
    <w:p w:rsidR="00D7008C" w:rsidRDefault="00D7008C" w:rsidP="00D7008C">
      <w:pPr>
        <w:pStyle w:val="Title"/>
      </w:pPr>
      <w:r>
        <w:t>Modern Jewish History/JUS 370a-001</w:t>
      </w:r>
    </w:p>
    <w:p w:rsidR="00D7008C" w:rsidRDefault="00D7008C" w:rsidP="00D7008C">
      <w:pPr>
        <w:pStyle w:val="Title"/>
      </w:pPr>
    </w:p>
    <w:p w:rsidR="00D7008C" w:rsidRPr="00AE6FD9" w:rsidRDefault="00D7008C" w:rsidP="00D7008C">
      <w:pPr>
        <w:pStyle w:val="Title"/>
        <w:rPr>
          <w:sz w:val="32"/>
          <w:szCs w:val="32"/>
        </w:rPr>
      </w:pPr>
      <w:r w:rsidRPr="00AE6FD9">
        <w:rPr>
          <w:sz w:val="32"/>
          <w:szCs w:val="32"/>
        </w:rPr>
        <w:t>The Jewish People in America</w:t>
      </w:r>
    </w:p>
    <w:p w:rsidR="00D7008C" w:rsidRDefault="00D7008C" w:rsidP="00D7008C">
      <w:pPr>
        <w:ind w:firstLine="720"/>
        <w:jc w:val="center"/>
      </w:pPr>
    </w:p>
    <w:p w:rsidR="00D7008C" w:rsidRDefault="00D7008C" w:rsidP="00D7008C">
      <w:pPr>
        <w:ind w:firstLine="720"/>
        <w:jc w:val="center"/>
      </w:pPr>
      <w:r>
        <w:t>The University of Arizona/Fall 2011</w:t>
      </w:r>
    </w:p>
    <w:p w:rsidR="00D7008C" w:rsidRDefault="00D7008C" w:rsidP="00D7008C">
      <w:pPr>
        <w:ind w:firstLine="720"/>
        <w:jc w:val="center"/>
      </w:pPr>
    </w:p>
    <w:p w:rsidR="00D7008C" w:rsidRDefault="00D7008C" w:rsidP="00D7008C">
      <w:pPr>
        <w:ind w:firstLine="720"/>
        <w:jc w:val="center"/>
      </w:pPr>
      <w:r>
        <w:t xml:space="preserve">Monday/Wednesday/Friday, 1:00-1:50PM, Chavez Building, </w:t>
      </w:r>
    </w:p>
    <w:p w:rsidR="00D7008C" w:rsidRDefault="00D7008C" w:rsidP="00D7008C">
      <w:pPr>
        <w:ind w:firstLine="720"/>
        <w:jc w:val="center"/>
      </w:pPr>
      <w:r>
        <w:t>Room 104</w:t>
      </w:r>
    </w:p>
    <w:p w:rsidR="00D7008C" w:rsidRDefault="00D7008C" w:rsidP="00D7008C">
      <w:pPr>
        <w:ind w:firstLine="720"/>
        <w:jc w:val="center"/>
      </w:pPr>
    </w:p>
    <w:p w:rsidR="00D7008C" w:rsidRDefault="00D7008C" w:rsidP="00D7008C">
      <w:pPr>
        <w:ind w:firstLine="720"/>
        <w:jc w:val="center"/>
      </w:pPr>
      <w:r>
        <w:t xml:space="preserve">Gil </w:t>
      </w:r>
      <w:proofErr w:type="spellStart"/>
      <w:r>
        <w:t>Ribak</w:t>
      </w:r>
      <w:proofErr w:type="spellEnd"/>
    </w:p>
    <w:p w:rsidR="00D7008C" w:rsidRPr="000136F6" w:rsidRDefault="00D7008C" w:rsidP="00D7008C">
      <w:pPr>
        <w:tabs>
          <w:tab w:val="left" w:pos="720"/>
        </w:tabs>
        <w:ind w:left="720" w:hanging="720"/>
        <w:jc w:val="center"/>
        <w:rPr>
          <w:rFonts w:ascii="Times" w:hAnsi="Times"/>
        </w:rPr>
      </w:pPr>
      <w:r>
        <w:rPr>
          <w:rFonts w:ascii="Times" w:hAnsi="Times"/>
        </w:rPr>
        <w:t>Office Phone: 626-5785</w:t>
      </w:r>
    </w:p>
    <w:p w:rsidR="00D7008C" w:rsidRPr="000136F6" w:rsidRDefault="00D7008C" w:rsidP="00D7008C">
      <w:pPr>
        <w:tabs>
          <w:tab w:val="left" w:pos="720"/>
        </w:tabs>
        <w:ind w:left="720" w:hanging="720"/>
        <w:jc w:val="center"/>
        <w:rPr>
          <w:rFonts w:ascii="Times" w:hAnsi="Times"/>
        </w:rPr>
      </w:pPr>
      <w:r w:rsidRPr="000136F6">
        <w:rPr>
          <w:rFonts w:ascii="Times" w:hAnsi="Times"/>
        </w:rPr>
        <w:t>E</w:t>
      </w:r>
      <w:r>
        <w:rPr>
          <w:rFonts w:ascii="Times" w:hAnsi="Times"/>
        </w:rPr>
        <w:t>mail: gribak@email.arizona.edu</w:t>
      </w:r>
    </w:p>
    <w:p w:rsidR="00D7008C" w:rsidRPr="000136F6" w:rsidRDefault="00D7008C" w:rsidP="00D7008C">
      <w:pPr>
        <w:tabs>
          <w:tab w:val="left" w:pos="720"/>
        </w:tabs>
        <w:ind w:left="720" w:hanging="720"/>
        <w:jc w:val="center"/>
        <w:rPr>
          <w:rFonts w:ascii="Times" w:hAnsi="Times"/>
        </w:rPr>
      </w:pPr>
      <w:r w:rsidRPr="000136F6">
        <w:rPr>
          <w:rFonts w:ascii="Times" w:hAnsi="Times"/>
        </w:rPr>
        <w:t>Judaic Studies Office: Marshall Building, Suite 420</w:t>
      </w:r>
    </w:p>
    <w:p w:rsidR="00D7008C" w:rsidRPr="000136F6" w:rsidRDefault="00D7008C" w:rsidP="00D7008C">
      <w:pPr>
        <w:tabs>
          <w:tab w:val="left" w:pos="720"/>
        </w:tabs>
        <w:ind w:left="720" w:hanging="720"/>
        <w:jc w:val="center"/>
        <w:rPr>
          <w:rFonts w:ascii="Times" w:hAnsi="Times"/>
        </w:rPr>
      </w:pPr>
      <w:r>
        <w:rPr>
          <w:rFonts w:ascii="Times" w:hAnsi="Times"/>
        </w:rPr>
        <w:t>Office Hours: Mondays and Wednesdays 2:30-3:30PM, or</w:t>
      </w:r>
      <w:r w:rsidRPr="000136F6">
        <w:rPr>
          <w:rFonts w:ascii="Times" w:hAnsi="Times"/>
        </w:rPr>
        <w:t xml:space="preserve"> by appointment</w:t>
      </w:r>
    </w:p>
    <w:p w:rsidR="00D7008C" w:rsidRDefault="00D7008C" w:rsidP="00D7008C">
      <w:pPr>
        <w:ind w:firstLine="720"/>
        <w:jc w:val="center"/>
      </w:pPr>
    </w:p>
    <w:p w:rsidR="00D7008C" w:rsidRDefault="00D7008C" w:rsidP="00D7008C">
      <w:pPr>
        <w:ind w:firstLine="720"/>
        <w:jc w:val="both"/>
      </w:pPr>
    </w:p>
    <w:p w:rsidR="00D7008C" w:rsidRDefault="00D7008C" w:rsidP="00D7008C">
      <w:pPr>
        <w:ind w:firstLine="720"/>
        <w:jc w:val="both"/>
        <w:rPr>
          <w:u w:val="single"/>
        </w:rPr>
      </w:pPr>
    </w:p>
    <w:p w:rsidR="00D7008C" w:rsidRDefault="00D7008C" w:rsidP="00D7008C">
      <w:pPr>
        <w:spacing w:line="360" w:lineRule="auto"/>
        <w:ind w:firstLine="720"/>
        <w:jc w:val="both"/>
        <w:rPr>
          <w:b/>
          <w:bCs/>
        </w:rPr>
      </w:pPr>
      <w:r>
        <w:rPr>
          <w:b/>
          <w:bCs/>
          <w:u w:val="single"/>
        </w:rPr>
        <w:t>Description</w:t>
      </w:r>
      <w:r>
        <w:rPr>
          <w:b/>
          <w:bCs/>
        </w:rPr>
        <w:t xml:space="preserve">: </w:t>
      </w:r>
    </w:p>
    <w:p w:rsidR="00D7008C" w:rsidRDefault="00D7008C" w:rsidP="00D7008C">
      <w:pPr>
        <w:spacing w:line="360" w:lineRule="auto"/>
        <w:ind w:firstLine="720"/>
        <w:jc w:val="both"/>
      </w:pPr>
      <w:r>
        <w:t>Once considered on the periphery of the Jewish world, American Jewry has become the largest (until recently) and arguably the most prosperous and influential Jewish community in the world after 1945. The course traces the history of Jews in America from their humble beginnings to what is often described as a blissful present. The course explores major themes in American Jewish history like religion, immigration, assimilation, antisemitism, patterns of political behavior, social mobility, inter-ethnic relations, and internal divisions.</w:t>
      </w:r>
    </w:p>
    <w:p w:rsidR="00D7008C" w:rsidRDefault="00D7008C" w:rsidP="00D7008C">
      <w:pPr>
        <w:spacing w:line="360" w:lineRule="auto"/>
        <w:ind w:firstLine="720"/>
        <w:jc w:val="both"/>
        <w:rPr>
          <w:szCs w:val="20"/>
        </w:rPr>
      </w:pPr>
      <w:r>
        <w:t xml:space="preserve">The course looks at different ideologies that have regenerated and revised Jewish life, such as Reform and Conservative Judaism, Zionism, Jewish socialism. It also deals with questions of Jewish self-definition in America’s ethnic and racial matrix and </w:t>
      </w:r>
      <w:r>
        <w:rPr>
          <w:szCs w:val="20"/>
        </w:rPr>
        <w:t>the profound influence of predominant American conceptions of group identity, ethnic pride and survival. Finally, we will also examine the contemporary debate regarding the future of Jews in America, in which some observers see decline and danger, while others see change and renaissance.</w:t>
      </w:r>
    </w:p>
    <w:p w:rsidR="00D7008C" w:rsidRDefault="00D7008C" w:rsidP="00D7008C">
      <w:pPr>
        <w:ind w:firstLine="720"/>
        <w:jc w:val="both"/>
      </w:pPr>
    </w:p>
    <w:p w:rsidR="00D7008C" w:rsidRDefault="00D7008C" w:rsidP="00D7008C">
      <w:pPr>
        <w:jc w:val="both"/>
        <w:rPr>
          <w:b/>
          <w:bCs/>
          <w:sz w:val="28"/>
          <w:szCs w:val="28"/>
        </w:rPr>
      </w:pPr>
      <w:r>
        <w:rPr>
          <w:b/>
          <w:bCs/>
          <w:sz w:val="28"/>
          <w:szCs w:val="28"/>
        </w:rPr>
        <w:t>Course Format, Requirements, and Attendance Policy</w:t>
      </w:r>
    </w:p>
    <w:p w:rsidR="00D7008C" w:rsidRPr="003F558F" w:rsidRDefault="00D7008C" w:rsidP="003F558F">
      <w:pPr>
        <w:spacing w:line="160" w:lineRule="atLeast"/>
        <w:rPr>
          <w:rFonts w:asciiTheme="majorBidi" w:hAnsiTheme="majorBidi" w:cstheme="majorBidi"/>
        </w:rPr>
      </w:pPr>
      <w:r>
        <w:t xml:space="preserve">This class is structured as a lecture which requires attendance and preparation. </w:t>
      </w:r>
      <w:r w:rsidR="003F07CD">
        <w:t xml:space="preserve">I cannot overemphasize the importance of your reading assignments. A failure to read the assigned materials will affect not only your quizzes grades, but also your ability to deal with the written assignments. </w:t>
      </w:r>
      <w:r>
        <w:t xml:space="preserve">Students are expected to read ALL the assigned materials in </w:t>
      </w:r>
      <w:r>
        <w:lastRenderedPageBreak/>
        <w:t>advance of class. Attendance in lecture is required and constitutes 10% of your final grade. I will take attendance each time and any student who misses FOUR or more lectures throughout the semester will get an “E” grade (for those 10% of the final grade).</w:t>
      </w:r>
      <w:r w:rsidR="003A1F39" w:rsidRPr="003A1F39">
        <w:rPr>
          <w:rFonts w:asciiTheme="majorBidi" w:hAnsiTheme="majorBidi" w:cstheme="majorBidi"/>
        </w:rPr>
        <w:t xml:space="preserve"> </w:t>
      </w:r>
      <w:r w:rsidR="003A1F39">
        <w:rPr>
          <w:rFonts w:asciiTheme="majorBidi" w:hAnsiTheme="majorBidi" w:cstheme="majorBidi"/>
        </w:rPr>
        <w:t xml:space="preserve">Any student who misses </w:t>
      </w:r>
      <w:r w:rsidR="003A1F39" w:rsidRPr="00255B3F">
        <w:rPr>
          <w:rFonts w:asciiTheme="majorBidi" w:hAnsiTheme="majorBidi" w:cstheme="majorBidi"/>
          <w:b/>
          <w:bCs/>
        </w:rPr>
        <w:t>25% or more</w:t>
      </w:r>
      <w:r w:rsidR="003A1F39">
        <w:rPr>
          <w:rFonts w:asciiTheme="majorBidi" w:hAnsiTheme="majorBidi" w:cstheme="majorBidi"/>
        </w:rPr>
        <w:t xml:space="preserve"> of the course’s total number of lectures will FAIL the class. </w:t>
      </w:r>
      <w:r>
        <w:t xml:space="preserve">If extenuating circumstances such as illness force a student to miss one or more classes, the student remains responsible for the material covered during her/his absence. A physician’s note is required in such a case. </w:t>
      </w:r>
      <w:r w:rsidRPr="003A1F39">
        <w:rPr>
          <w:rFonts w:ascii="Times" w:hAnsi="Times"/>
          <w:b/>
          <w:bCs/>
        </w:rPr>
        <w:t>Tardiness</w:t>
      </w:r>
      <w:r>
        <w:rPr>
          <w:rFonts w:ascii="Times" w:hAnsi="Times"/>
        </w:rPr>
        <w:t xml:space="preserve"> is disruptive to the class and unacceptable. If a student is tardy</w:t>
      </w:r>
      <w:r w:rsidR="003A1F39">
        <w:rPr>
          <w:rFonts w:ascii="Times" w:hAnsi="Times"/>
        </w:rPr>
        <w:t xml:space="preserve"> (</w:t>
      </w:r>
      <w:r w:rsidR="005F1F88">
        <w:rPr>
          <w:rFonts w:asciiTheme="majorBidi" w:hAnsiTheme="majorBidi" w:cstheme="majorBidi"/>
        </w:rPr>
        <w:t>arriving more than TWO</w:t>
      </w:r>
      <w:r w:rsidR="003A1F39">
        <w:rPr>
          <w:rFonts w:asciiTheme="majorBidi" w:hAnsiTheme="majorBidi" w:cstheme="majorBidi"/>
        </w:rPr>
        <w:t xml:space="preserve"> minutes after the beginning of class)</w:t>
      </w:r>
      <w:r>
        <w:rPr>
          <w:rFonts w:ascii="Times" w:hAnsi="Times"/>
        </w:rPr>
        <w:t xml:space="preserve"> THREE times, it will constitute one unexcused absence.</w:t>
      </w:r>
      <w:r w:rsidR="003A1F39">
        <w:rPr>
          <w:rFonts w:ascii="Times" w:hAnsi="Times"/>
        </w:rPr>
        <w:t xml:space="preserve"> </w:t>
      </w:r>
      <w:r w:rsidR="003F558F">
        <w:rPr>
          <w:rFonts w:asciiTheme="majorBidi" w:hAnsiTheme="majorBidi" w:cstheme="majorBidi"/>
        </w:rPr>
        <w:t xml:space="preserve">The same goes for leaving class before it ends. </w:t>
      </w:r>
      <w:r w:rsidRPr="000136F6">
        <w:rPr>
          <w:rFonts w:ascii="Times" w:hAnsi="Times"/>
          <w:szCs w:val="32"/>
        </w:rPr>
        <w:t xml:space="preserve">In keeping with University policy </w:t>
      </w:r>
      <w:r>
        <w:rPr>
          <w:rFonts w:ascii="Times" w:hAnsi="Times"/>
          <w:szCs w:val="32"/>
        </w:rPr>
        <w:t>I</w:t>
      </w:r>
      <w:r w:rsidRPr="000136F6">
        <w:rPr>
          <w:rFonts w:ascii="Times" w:hAnsi="Times"/>
          <w:szCs w:val="32"/>
        </w:rPr>
        <w:t xml:space="preserve"> will provide reasonable accommodation of any student’s religious beliefs with regard to the scheduling of examinations and other academic requirements for this course. Please consult with the professor at least two weeks in advance of any such scheduling issues. </w:t>
      </w:r>
    </w:p>
    <w:p w:rsidR="00D7008C" w:rsidRDefault="00D7008C" w:rsidP="00D7008C"/>
    <w:p w:rsidR="00D7008C" w:rsidRDefault="00D7008C" w:rsidP="00D7008C">
      <w:pPr>
        <w:jc w:val="both"/>
      </w:pPr>
    </w:p>
    <w:p w:rsidR="00D7008C" w:rsidRDefault="00D7008C" w:rsidP="00D7008C">
      <w:pPr>
        <w:jc w:val="both"/>
        <w:rPr>
          <w:b/>
          <w:bCs/>
          <w:sz w:val="28"/>
          <w:szCs w:val="28"/>
        </w:rPr>
      </w:pPr>
      <w:r>
        <w:rPr>
          <w:b/>
          <w:bCs/>
          <w:sz w:val="28"/>
          <w:szCs w:val="28"/>
        </w:rPr>
        <w:t>Final Grade Breakdown:</w:t>
      </w:r>
    </w:p>
    <w:p w:rsidR="00D7008C" w:rsidRDefault="00D7008C" w:rsidP="00D7008C">
      <w:pPr>
        <w:jc w:val="both"/>
      </w:pPr>
    </w:p>
    <w:p w:rsidR="00D7008C" w:rsidRDefault="00D7008C" w:rsidP="00D7008C">
      <w:r>
        <w:t>Attendance – 10%</w:t>
      </w:r>
    </w:p>
    <w:p w:rsidR="00D7008C" w:rsidRDefault="00D7008C" w:rsidP="00D7008C">
      <w:r>
        <w:t>Two pop quizzes (at least) – 15% (combined)</w:t>
      </w:r>
    </w:p>
    <w:p w:rsidR="00D7008C" w:rsidRDefault="00D7008C" w:rsidP="00D7008C">
      <w:r>
        <w:t>Midterm exam: 25%</w:t>
      </w:r>
    </w:p>
    <w:p w:rsidR="00D7008C" w:rsidRDefault="009816F1" w:rsidP="00D7008C">
      <w:r>
        <w:t>Term paper – 20</w:t>
      </w:r>
      <w:r w:rsidR="00D7008C">
        <w:t xml:space="preserve">% </w:t>
      </w:r>
    </w:p>
    <w:p w:rsidR="00D7008C" w:rsidRDefault="009816F1" w:rsidP="00D7008C">
      <w:r>
        <w:t>Final exam: 30</w:t>
      </w:r>
      <w:r w:rsidR="00D7008C">
        <w:t>%.</w:t>
      </w:r>
    </w:p>
    <w:p w:rsidR="00D7008C" w:rsidRDefault="00D7008C" w:rsidP="00D7008C"/>
    <w:p w:rsidR="00D7008C" w:rsidRDefault="00D7008C" w:rsidP="00D7008C">
      <w:r>
        <w:t>Please note: late papers will lose 10 points for every day late.</w:t>
      </w:r>
    </w:p>
    <w:p w:rsidR="00D7008C" w:rsidRDefault="00D7008C" w:rsidP="00D7008C"/>
    <w:p w:rsidR="00D7008C" w:rsidRDefault="00D7008C" w:rsidP="00D7008C"/>
    <w:p w:rsidR="00D7008C" w:rsidRDefault="00D7008C" w:rsidP="00D7008C">
      <w:pPr>
        <w:tabs>
          <w:tab w:val="left" w:leader="dot" w:pos="5760"/>
        </w:tabs>
        <w:ind w:left="2160"/>
        <w:jc w:val="both"/>
        <w:rPr>
          <w:rFonts w:ascii="Times" w:hAnsi="Times"/>
        </w:rPr>
      </w:pPr>
      <w:r>
        <w:rPr>
          <w:rFonts w:ascii="Times" w:hAnsi="Times"/>
        </w:rPr>
        <w:t>92% and above</w:t>
      </w:r>
      <w:r>
        <w:rPr>
          <w:rFonts w:ascii="Times" w:hAnsi="Times"/>
        </w:rPr>
        <w:tab/>
        <w:t>A</w:t>
      </w:r>
    </w:p>
    <w:p w:rsidR="00D7008C" w:rsidRDefault="00D7008C" w:rsidP="00D7008C">
      <w:pPr>
        <w:tabs>
          <w:tab w:val="left" w:leader="dot" w:pos="5760"/>
        </w:tabs>
        <w:ind w:left="2160"/>
        <w:jc w:val="both"/>
        <w:rPr>
          <w:rFonts w:ascii="Times" w:hAnsi="Times"/>
        </w:rPr>
      </w:pPr>
      <w:r>
        <w:rPr>
          <w:rFonts w:ascii="Times" w:hAnsi="Times"/>
        </w:rPr>
        <w:t>82-91.99%</w:t>
      </w:r>
      <w:r>
        <w:rPr>
          <w:rFonts w:ascii="Times" w:hAnsi="Times"/>
        </w:rPr>
        <w:tab/>
        <w:t>B</w:t>
      </w:r>
    </w:p>
    <w:p w:rsidR="00D7008C" w:rsidRDefault="00D7008C" w:rsidP="00D7008C">
      <w:pPr>
        <w:tabs>
          <w:tab w:val="left" w:leader="dot" w:pos="5760"/>
        </w:tabs>
        <w:ind w:left="2160"/>
        <w:jc w:val="both"/>
        <w:rPr>
          <w:rFonts w:ascii="Times" w:hAnsi="Times"/>
        </w:rPr>
      </w:pPr>
      <w:r>
        <w:rPr>
          <w:rFonts w:ascii="Times" w:hAnsi="Times"/>
        </w:rPr>
        <w:t>72-81.99%</w:t>
      </w:r>
      <w:r>
        <w:rPr>
          <w:rFonts w:ascii="Times" w:hAnsi="Times"/>
        </w:rPr>
        <w:tab/>
        <w:t>C</w:t>
      </w:r>
    </w:p>
    <w:p w:rsidR="00D7008C" w:rsidRDefault="00D7008C" w:rsidP="00D7008C">
      <w:pPr>
        <w:tabs>
          <w:tab w:val="left" w:leader="dot" w:pos="5760"/>
        </w:tabs>
        <w:ind w:left="2160"/>
        <w:jc w:val="both"/>
        <w:rPr>
          <w:rFonts w:ascii="Times" w:hAnsi="Times"/>
        </w:rPr>
      </w:pPr>
      <w:r>
        <w:rPr>
          <w:rFonts w:ascii="Times" w:hAnsi="Times"/>
        </w:rPr>
        <w:t>61-71.99%</w:t>
      </w:r>
      <w:r>
        <w:rPr>
          <w:rFonts w:ascii="Times" w:hAnsi="Times"/>
        </w:rPr>
        <w:tab/>
        <w:t>D</w:t>
      </w:r>
    </w:p>
    <w:p w:rsidR="00D7008C" w:rsidRDefault="00D7008C" w:rsidP="00D7008C">
      <w:pPr>
        <w:tabs>
          <w:tab w:val="left" w:leader="dot" w:pos="5760"/>
        </w:tabs>
        <w:ind w:left="2160"/>
        <w:jc w:val="both"/>
        <w:rPr>
          <w:rFonts w:ascii="Times" w:hAnsi="Times"/>
        </w:rPr>
      </w:pPr>
      <w:r>
        <w:rPr>
          <w:rFonts w:ascii="Times" w:hAnsi="Times"/>
        </w:rPr>
        <w:t>Below 61%</w:t>
      </w:r>
      <w:r>
        <w:rPr>
          <w:rFonts w:ascii="Times" w:hAnsi="Times"/>
        </w:rPr>
        <w:tab/>
        <w:t>E</w:t>
      </w:r>
    </w:p>
    <w:p w:rsidR="00D7008C" w:rsidRDefault="00D7008C" w:rsidP="00D7008C"/>
    <w:p w:rsidR="00D7008C" w:rsidRDefault="00D7008C" w:rsidP="00D7008C"/>
    <w:p w:rsidR="00D7008C" w:rsidRDefault="00D7008C" w:rsidP="00D7008C"/>
    <w:p w:rsidR="00D7008C" w:rsidRPr="00557A74" w:rsidRDefault="00D7008C" w:rsidP="00D7008C">
      <w:pPr>
        <w:rPr>
          <w:b/>
          <w:sz w:val="28"/>
          <w:szCs w:val="28"/>
        </w:rPr>
      </w:pPr>
      <w:r w:rsidRPr="00557A74">
        <w:rPr>
          <w:b/>
          <w:sz w:val="28"/>
          <w:szCs w:val="28"/>
        </w:rPr>
        <w:t>Standards of Student Conduct</w:t>
      </w:r>
    </w:p>
    <w:p w:rsidR="000B149B" w:rsidRPr="006C19CE" w:rsidRDefault="003A1F39" w:rsidP="000B149B">
      <w:pPr>
        <w:spacing w:line="160" w:lineRule="atLeast"/>
        <w:rPr>
          <w:rFonts w:asciiTheme="majorBidi" w:hAnsiTheme="majorBidi" w:cstheme="majorBidi"/>
        </w:rPr>
      </w:pPr>
      <w:r w:rsidRPr="006C19CE">
        <w:rPr>
          <w:rFonts w:asciiTheme="majorBidi" w:hAnsiTheme="majorBidi" w:cstheme="majorBidi"/>
        </w:rPr>
        <w:t>The use of computers in class is STRICTLY FORBIDDEN. The ONLY exception would be students who can provide a formal authorization from the Dis</w:t>
      </w:r>
      <w:r>
        <w:rPr>
          <w:rFonts w:asciiTheme="majorBidi" w:hAnsiTheme="majorBidi" w:cstheme="majorBidi"/>
        </w:rPr>
        <w:t>ability Resources Center (DRC).</w:t>
      </w:r>
      <w:r w:rsidR="00D7008C" w:rsidRPr="00C261C2">
        <w:rPr>
          <w:rFonts w:ascii="Times" w:hAnsi="Times"/>
        </w:rPr>
        <w:t xml:space="preserve"> </w:t>
      </w:r>
      <w:r>
        <w:rPr>
          <w:rFonts w:ascii="Times" w:hAnsi="Times"/>
        </w:rPr>
        <w:t>T</w:t>
      </w:r>
      <w:r w:rsidR="00D7008C" w:rsidRPr="000136F6">
        <w:rPr>
          <w:rFonts w:ascii="Times" w:hAnsi="Times"/>
        </w:rPr>
        <w:t xml:space="preserve">he use of </w:t>
      </w:r>
      <w:r w:rsidR="00D7008C">
        <w:rPr>
          <w:rFonts w:ascii="Times" w:hAnsi="Times"/>
        </w:rPr>
        <w:t>tex</w:t>
      </w:r>
      <w:r>
        <w:rPr>
          <w:rFonts w:ascii="Times" w:hAnsi="Times"/>
        </w:rPr>
        <w:t>ting, cell phones and pagers is also</w:t>
      </w:r>
      <w:r w:rsidR="00D7008C" w:rsidRPr="000136F6">
        <w:rPr>
          <w:rFonts w:ascii="Times" w:hAnsi="Times"/>
        </w:rPr>
        <w:t xml:space="preserve"> strictly forbidden. Students violating these rules will be asked </w:t>
      </w:r>
      <w:r w:rsidR="000B149B">
        <w:rPr>
          <w:rFonts w:ascii="Times" w:hAnsi="Times"/>
        </w:rPr>
        <w:t xml:space="preserve">to leave the class for the day, </w:t>
      </w:r>
      <w:r w:rsidR="000B149B" w:rsidRPr="006C19CE">
        <w:rPr>
          <w:rFonts w:asciiTheme="majorBidi" w:hAnsiTheme="majorBidi" w:cstheme="majorBidi"/>
        </w:rPr>
        <w:t>and will have an absence recorded for that date.</w:t>
      </w:r>
    </w:p>
    <w:p w:rsidR="00D7008C" w:rsidRDefault="00D7008C" w:rsidP="00D7008C">
      <w:pPr>
        <w:rPr>
          <w:rFonts w:ascii="Times" w:hAnsi="Times"/>
        </w:rPr>
      </w:pPr>
      <w:bookmarkStart w:id="0" w:name="_GoBack"/>
      <w:bookmarkEnd w:id="0"/>
    </w:p>
    <w:p w:rsidR="00D7008C" w:rsidRPr="00E473F2" w:rsidRDefault="00D7008C" w:rsidP="00D7008C">
      <w:pPr>
        <w:tabs>
          <w:tab w:val="left" w:pos="810"/>
          <w:tab w:val="right" w:pos="9868"/>
        </w:tabs>
      </w:pPr>
      <w:r w:rsidRPr="00E473F2">
        <w:t xml:space="preserve">Plagiarism and other forms academic misconduct are strictly forbidden according to the Student Code of Academic Integrity. </w:t>
      </w:r>
      <w:r>
        <w:t xml:space="preserve">Students </w:t>
      </w:r>
      <w:r w:rsidRPr="00E473F2">
        <w:t>may not plagiarize or represent the work of others as their own, nor modify academic work</w:t>
      </w:r>
      <w:r>
        <w:t>.</w:t>
      </w:r>
      <w:r w:rsidRPr="00E473F2">
        <w:t xml:space="preserve"> Plagiarism is defined as using the ideas and words of others without indicating whose ideas and wh</w:t>
      </w:r>
      <w:r>
        <w:t>ose words they are.</w:t>
      </w:r>
      <w:r w:rsidRPr="00E473F2">
        <w:t xml:space="preserve"> Do not plagiarize, even inadvertently.  If you quote as few as three words, use quotation marks and provide the reference.  If you use someone’s ideas but not their actual words, provide the reference but do not use quotation marks.</w:t>
      </w:r>
      <w:r>
        <w:t xml:space="preserve"> </w:t>
      </w:r>
      <w:proofErr w:type="gramStart"/>
      <w:r>
        <w:t xml:space="preserve">For the UA Code on Academic integrity </w:t>
      </w:r>
      <w:r>
        <w:lastRenderedPageBreak/>
        <w:t xml:space="preserve">see: </w:t>
      </w:r>
      <w:hyperlink r:id="rId5" w:history="1">
        <w:r w:rsidRPr="00E473F2">
          <w:rPr>
            <w:rStyle w:val="Hyperlink"/>
          </w:rPr>
          <w:t>http://deanofstudents.arizona.edu/codeofacademicintegrity</w:t>
        </w:r>
      </w:hyperlink>
      <w:r>
        <w:t>.</w:t>
      </w:r>
      <w:proofErr w:type="gramEnd"/>
      <w:r>
        <w:t xml:space="preserve"> For further information on how to avoid plagiarism see </w:t>
      </w:r>
      <w:hyperlink r:id="rId6" w:history="1">
        <w:r w:rsidRPr="00E473F2">
          <w:rPr>
            <w:rStyle w:val="Hyperlink"/>
          </w:rPr>
          <w:t>http://www.library.arizona.edu/help/tutorials/plagiarism/index.html</w:t>
        </w:r>
      </w:hyperlink>
    </w:p>
    <w:p w:rsidR="00D7008C" w:rsidRDefault="00D7008C" w:rsidP="00D7008C">
      <w:pPr>
        <w:rPr>
          <w:rFonts w:ascii="Times" w:hAnsi="Times"/>
        </w:rPr>
      </w:pPr>
    </w:p>
    <w:p w:rsidR="00D7008C" w:rsidRPr="000136F6" w:rsidRDefault="00D7008C" w:rsidP="00D7008C">
      <w:pPr>
        <w:rPr>
          <w:rFonts w:ascii="Times" w:hAnsi="Times"/>
        </w:rPr>
      </w:pPr>
      <w:r w:rsidRPr="000136F6">
        <w:rPr>
          <w:rFonts w:ascii="Times" w:hAnsi="Times"/>
        </w:rPr>
        <w:t>Behavior that could be considered threatening is str</w:t>
      </w:r>
      <w:r>
        <w:rPr>
          <w:rFonts w:ascii="Times" w:hAnsi="Times"/>
        </w:rPr>
        <w:t>ictly forbidden according to U</w:t>
      </w:r>
      <w:r w:rsidRPr="000136F6">
        <w:rPr>
          <w:rFonts w:ascii="Times" w:hAnsi="Times"/>
        </w:rPr>
        <w:t xml:space="preserve">A policy (see policy.web.arizona.edu/~policy/threaten.shtml). </w:t>
      </w:r>
    </w:p>
    <w:p w:rsidR="00D7008C" w:rsidRPr="000136F6" w:rsidRDefault="00D7008C" w:rsidP="00D7008C">
      <w:pPr>
        <w:rPr>
          <w:rFonts w:ascii="Times" w:hAnsi="Times"/>
        </w:rPr>
      </w:pPr>
    </w:p>
    <w:p w:rsidR="00D7008C" w:rsidRPr="00B97279" w:rsidRDefault="00D7008C" w:rsidP="00D7008C">
      <w:pPr>
        <w:rPr>
          <w:rFonts w:ascii="Times" w:hAnsi="Times"/>
          <w:color w:val="000000"/>
        </w:rPr>
      </w:pPr>
      <w:r w:rsidRPr="000136F6">
        <w:rPr>
          <w:rFonts w:ascii="Times" w:hAnsi="Times"/>
          <w:szCs w:val="32"/>
        </w:rPr>
        <w:t xml:space="preserve">In keeping with </w:t>
      </w:r>
      <w:r>
        <w:rPr>
          <w:rFonts w:ascii="Times" w:hAnsi="Times"/>
          <w:szCs w:val="32"/>
        </w:rPr>
        <w:t>University policy I</w:t>
      </w:r>
      <w:r w:rsidRPr="000136F6">
        <w:rPr>
          <w:rFonts w:ascii="Times" w:hAnsi="Times"/>
          <w:szCs w:val="32"/>
        </w:rPr>
        <w:t xml:space="preserve"> will provide reasonable accommodation of any student’s religious beliefs with regard to the scheduling of examinations and other academic requirements for this course. Please consult with the professor at least two weeks in advance of any such scheduling issues. </w:t>
      </w:r>
    </w:p>
    <w:p w:rsidR="00D7008C" w:rsidRDefault="00D7008C" w:rsidP="00D7008C"/>
    <w:p w:rsidR="00D7008C" w:rsidRPr="000136F6" w:rsidRDefault="00D7008C" w:rsidP="00D7008C">
      <w:pPr>
        <w:rPr>
          <w:rFonts w:ascii="Times" w:hAnsi="Times"/>
          <w:color w:val="000000"/>
        </w:rPr>
      </w:pPr>
      <w:r w:rsidRPr="000136F6">
        <w:rPr>
          <w:rFonts w:ascii="Times" w:hAnsi="Times"/>
          <w:color w:val="000000"/>
        </w:rPr>
        <w:t>The information contained in the course syllabus, other than the grading policy, may be subject to change with reasonable advance notice as deemed appropriate by the professor.</w:t>
      </w:r>
    </w:p>
    <w:p w:rsidR="00D7008C" w:rsidRDefault="00D7008C" w:rsidP="00D7008C"/>
    <w:p w:rsidR="00D7008C" w:rsidRDefault="00D7008C" w:rsidP="00D7008C"/>
    <w:p w:rsidR="00D7008C" w:rsidRDefault="00D7008C" w:rsidP="00D7008C">
      <w:pPr>
        <w:rPr>
          <w:b/>
          <w:sz w:val="28"/>
          <w:u w:val="single"/>
        </w:rPr>
      </w:pPr>
      <w:r>
        <w:rPr>
          <w:b/>
          <w:sz w:val="28"/>
          <w:u w:val="single"/>
        </w:rPr>
        <w:t>Required Books</w:t>
      </w:r>
    </w:p>
    <w:p w:rsidR="00D7008C" w:rsidRDefault="00D7008C" w:rsidP="00D7008C">
      <w:proofErr w:type="spellStart"/>
      <w:r>
        <w:t>Hasia</w:t>
      </w:r>
      <w:proofErr w:type="spellEnd"/>
      <w:r>
        <w:t xml:space="preserve"> R. Diner, </w:t>
      </w:r>
      <w:proofErr w:type="gramStart"/>
      <w:r>
        <w:rPr>
          <w:u w:val="single"/>
        </w:rPr>
        <w:t>The</w:t>
      </w:r>
      <w:proofErr w:type="gramEnd"/>
      <w:r>
        <w:rPr>
          <w:u w:val="single"/>
        </w:rPr>
        <w:t xml:space="preserve"> Jews of the United States, 1654-2004</w:t>
      </w:r>
    </w:p>
    <w:p w:rsidR="00D7008C" w:rsidRDefault="00D7008C" w:rsidP="00D7008C">
      <w:r>
        <w:t xml:space="preserve">Samuel C. </w:t>
      </w:r>
      <w:proofErr w:type="spellStart"/>
      <w:r>
        <w:t>Heilman</w:t>
      </w:r>
      <w:proofErr w:type="spellEnd"/>
      <w:r>
        <w:t xml:space="preserve">, </w:t>
      </w:r>
      <w:r>
        <w:rPr>
          <w:u w:val="single"/>
        </w:rPr>
        <w:t>Portrait of American Jews:  The Last Half of the 20th Century</w:t>
      </w:r>
    </w:p>
    <w:p w:rsidR="00D7008C" w:rsidRDefault="00D7008C" w:rsidP="00D7008C">
      <w:r>
        <w:t xml:space="preserve">Jonathan D. </w:t>
      </w:r>
      <w:proofErr w:type="spellStart"/>
      <w:r>
        <w:t>Sarna</w:t>
      </w:r>
      <w:proofErr w:type="spellEnd"/>
      <w:r>
        <w:t xml:space="preserve">, (ed.), </w:t>
      </w:r>
      <w:proofErr w:type="gramStart"/>
      <w:r>
        <w:rPr>
          <w:u w:val="single"/>
        </w:rPr>
        <w:t>The</w:t>
      </w:r>
      <w:proofErr w:type="gramEnd"/>
      <w:r>
        <w:rPr>
          <w:u w:val="single"/>
        </w:rPr>
        <w:t xml:space="preserve"> American Jewish Experience</w:t>
      </w:r>
    </w:p>
    <w:p w:rsidR="00D7008C" w:rsidRDefault="00D7008C" w:rsidP="00D7008C"/>
    <w:p w:rsidR="00D7008C" w:rsidRDefault="00D7008C" w:rsidP="00D7008C">
      <w:r>
        <w:t>All the assigned books are available for purchase at the campus bookstore. There is also a copy of each book at the Center for Judaic Studies that you can read there (but not borrow). The other readings are available online via D2L.</w:t>
      </w:r>
    </w:p>
    <w:p w:rsidR="00D7008C" w:rsidRDefault="00D7008C" w:rsidP="00D7008C"/>
    <w:p w:rsidR="00D7008C" w:rsidRDefault="00D7008C" w:rsidP="00D7008C"/>
    <w:p w:rsidR="00D7008C" w:rsidRDefault="00D7008C" w:rsidP="00D7008C">
      <w:r>
        <w:t xml:space="preserve">            </w:t>
      </w:r>
      <w:r>
        <w:tab/>
      </w:r>
      <w:r>
        <w:rPr>
          <w:b/>
        </w:rPr>
        <w:t xml:space="preserve">* </w:t>
      </w:r>
      <w:r>
        <w:rPr>
          <w:bCs/>
        </w:rPr>
        <w:t>Primary</w:t>
      </w:r>
      <w:r>
        <w:t xml:space="preserve"> documents (online)</w:t>
      </w:r>
    </w:p>
    <w:p w:rsidR="00D7008C" w:rsidRDefault="00D7008C" w:rsidP="00D7008C">
      <w:r>
        <w:tab/>
        <w:t xml:space="preserve">            # Scholarly readings (online)</w:t>
      </w:r>
    </w:p>
    <w:p w:rsidR="00D7008C" w:rsidRDefault="00D7008C" w:rsidP="00D7008C">
      <w:pPr>
        <w:rPr>
          <w:b/>
          <w:sz w:val="28"/>
        </w:rPr>
      </w:pPr>
    </w:p>
    <w:p w:rsidR="00D7008C" w:rsidRDefault="00D7008C" w:rsidP="00D7008C"/>
    <w:p w:rsidR="00D7008C" w:rsidRDefault="00D7008C" w:rsidP="00D7008C"/>
    <w:p w:rsidR="00D7008C" w:rsidRDefault="00D7008C" w:rsidP="00D7008C">
      <w:r>
        <w:rPr>
          <w:b/>
          <w:sz w:val="28"/>
        </w:rPr>
        <w:t>Lectures and Readings</w:t>
      </w:r>
    </w:p>
    <w:p w:rsidR="00D7008C" w:rsidRDefault="00D7008C" w:rsidP="00D7008C">
      <w:r>
        <w:t>(Note: the weekly readings are due on the first meeting of the week)</w:t>
      </w:r>
    </w:p>
    <w:p w:rsidR="00D7008C" w:rsidRDefault="00D7008C" w:rsidP="00D7008C"/>
    <w:p w:rsidR="00D7008C" w:rsidRDefault="00E054FF" w:rsidP="00E054FF">
      <w:pPr>
        <w:pStyle w:val="Heading1"/>
        <w:jc w:val="left"/>
      </w:pPr>
      <w:r>
        <w:t>Week 1 (Aug. 22</w:t>
      </w:r>
      <w:r w:rsidR="00D7008C">
        <w:t>-2</w:t>
      </w:r>
      <w:r>
        <w:t>6</w:t>
      </w:r>
      <w:r w:rsidR="00D7008C">
        <w:t>): Introduction</w:t>
      </w:r>
      <w:r>
        <w:t xml:space="preserve"> and</w:t>
      </w:r>
      <w:r w:rsidRPr="00E054FF">
        <w:t xml:space="preserve"> </w:t>
      </w:r>
      <w:r>
        <w:t>Jews in Colonial, Revolutionary, and Early America</w:t>
      </w:r>
    </w:p>
    <w:p w:rsidR="00D7008C" w:rsidRDefault="00D7008C" w:rsidP="00E054FF">
      <w:r>
        <w:t xml:space="preserve">Diner, </w:t>
      </w:r>
      <w:proofErr w:type="gramStart"/>
      <w:r>
        <w:rPr>
          <w:u w:val="single"/>
        </w:rPr>
        <w:t>The</w:t>
      </w:r>
      <w:proofErr w:type="gramEnd"/>
      <w:r>
        <w:rPr>
          <w:u w:val="single"/>
        </w:rPr>
        <w:t xml:space="preserve"> Jews of the United States</w:t>
      </w:r>
      <w:r>
        <w:t>, pp. 1-9</w:t>
      </w:r>
      <w:r w:rsidR="00E054FF">
        <w:t>, 13-67</w:t>
      </w:r>
    </w:p>
    <w:p w:rsidR="00E054FF" w:rsidRDefault="00E054FF" w:rsidP="00E054FF">
      <w:r>
        <w:t xml:space="preserve">From </w:t>
      </w:r>
      <w:proofErr w:type="spellStart"/>
      <w:r>
        <w:t>Sarna</w:t>
      </w:r>
      <w:proofErr w:type="spellEnd"/>
      <w:r>
        <w:t xml:space="preserve">, </w:t>
      </w:r>
      <w:proofErr w:type="gramStart"/>
      <w:r>
        <w:rPr>
          <w:u w:val="single"/>
        </w:rPr>
        <w:t>The</w:t>
      </w:r>
      <w:proofErr w:type="gramEnd"/>
      <w:r>
        <w:rPr>
          <w:u w:val="single"/>
        </w:rPr>
        <w:t xml:space="preserve"> American Jewish Experience</w:t>
      </w:r>
      <w:r>
        <w:t xml:space="preserve">: </w:t>
      </w:r>
    </w:p>
    <w:p w:rsidR="00E054FF" w:rsidRDefault="00E054FF" w:rsidP="00E054FF">
      <w:proofErr w:type="gramStart"/>
      <w:r>
        <w:t>“Introduction,” pp. xiii-xix.</w:t>
      </w:r>
      <w:proofErr w:type="gramEnd"/>
    </w:p>
    <w:p w:rsidR="00E054FF" w:rsidRDefault="00E054FF" w:rsidP="00E054FF">
      <w:r>
        <w:t>Jacob R. Marcus, “The American Colonial Jew:  A Study in Acculturation,” pp. 6-17.</w:t>
      </w:r>
    </w:p>
    <w:p w:rsidR="00E054FF" w:rsidRDefault="00E054FF" w:rsidP="00E054FF">
      <w:r>
        <w:t>Malcolm H. Stern, “The 1820s:  American Jewry Comes of Age,” pp. 31-37.</w:t>
      </w:r>
    </w:p>
    <w:p w:rsidR="00E054FF" w:rsidRDefault="00E054FF" w:rsidP="00D7008C"/>
    <w:p w:rsidR="00E054FF" w:rsidRDefault="00E054FF" w:rsidP="00E054FF">
      <w:r>
        <w:t xml:space="preserve">* A letter by Abigail Franks (1743), “The Dread of Intermarriage”, in Jacob R. Marcus, </w:t>
      </w:r>
      <w:r>
        <w:rPr>
          <w:u w:val="single"/>
        </w:rPr>
        <w:t>The Jew in the American World</w:t>
      </w:r>
      <w:r>
        <w:t>, pp. 42-43</w:t>
      </w:r>
    </w:p>
    <w:p w:rsidR="00E054FF" w:rsidRDefault="00E054FF" w:rsidP="00E054FF">
      <w:r>
        <w:rPr>
          <w:b/>
        </w:rPr>
        <w:t>*</w:t>
      </w:r>
      <w:r>
        <w:t xml:space="preserve"> The Hebrew Congregation of Newport, Rhode Island, “A Message of Welcome to George Washington” (1790), and Washington’s “Reply” in Paul Mendes-</w:t>
      </w:r>
      <w:proofErr w:type="spellStart"/>
      <w:r>
        <w:t>Flohr</w:t>
      </w:r>
      <w:proofErr w:type="spellEnd"/>
      <w:r>
        <w:t xml:space="preserve"> and </w:t>
      </w:r>
      <w:proofErr w:type="spellStart"/>
      <w:r>
        <w:t>Jehuda</w:t>
      </w:r>
      <w:proofErr w:type="spellEnd"/>
      <w:r>
        <w:t xml:space="preserve"> </w:t>
      </w:r>
      <w:proofErr w:type="spellStart"/>
      <w:r>
        <w:t>Reinharz</w:t>
      </w:r>
      <w:proofErr w:type="spellEnd"/>
      <w:r>
        <w:t xml:space="preserve">, </w:t>
      </w:r>
      <w:r>
        <w:rPr>
          <w:u w:val="single"/>
        </w:rPr>
        <w:t>The Jew in the Modern World</w:t>
      </w:r>
      <w:r>
        <w:t>, pp. 457-459</w:t>
      </w:r>
    </w:p>
    <w:p w:rsidR="00E054FF" w:rsidRDefault="00E054FF" w:rsidP="00E054FF">
      <w:r>
        <w:lastRenderedPageBreak/>
        <w:t xml:space="preserve">* “Philadelphia Jewry protests against Persecution of Jews in Damascus” (1840), in Jacob R. Marcus, </w:t>
      </w:r>
      <w:r>
        <w:rPr>
          <w:u w:val="single"/>
        </w:rPr>
        <w:t>The Jew in the American World</w:t>
      </w:r>
      <w:r>
        <w:t>, pp. 185-187</w:t>
      </w:r>
    </w:p>
    <w:p w:rsidR="00E054FF" w:rsidRDefault="00E054FF" w:rsidP="00D7008C"/>
    <w:p w:rsidR="00D7008C" w:rsidRDefault="00D7008C" w:rsidP="00D7008C">
      <w:pPr>
        <w:pStyle w:val="Heading1"/>
        <w:jc w:val="left"/>
      </w:pPr>
    </w:p>
    <w:p w:rsidR="00D7008C" w:rsidRDefault="00E054FF" w:rsidP="00E054FF">
      <w:pPr>
        <w:pStyle w:val="Heading1"/>
        <w:jc w:val="left"/>
      </w:pPr>
      <w:r>
        <w:t>Weeks 2 (Aug. 29-Sep. 2</w:t>
      </w:r>
      <w:r w:rsidR="00D7008C">
        <w:t>): The “Germans” Are Coming</w:t>
      </w:r>
    </w:p>
    <w:p w:rsidR="00D7008C" w:rsidRDefault="00D7008C" w:rsidP="00D7008C">
      <w:r>
        <w:t xml:space="preserve">Diner, </w:t>
      </w:r>
      <w:proofErr w:type="gramStart"/>
      <w:r>
        <w:rPr>
          <w:u w:val="single"/>
        </w:rPr>
        <w:t>The</w:t>
      </w:r>
      <w:proofErr w:type="gramEnd"/>
      <w:r>
        <w:rPr>
          <w:u w:val="single"/>
        </w:rPr>
        <w:t xml:space="preserve"> Jews of the United States</w:t>
      </w:r>
      <w:r>
        <w:t>, pp. 71-88, 99-103, 140-147</w:t>
      </w:r>
    </w:p>
    <w:p w:rsidR="00D7008C" w:rsidRDefault="00D7008C" w:rsidP="00D7008C">
      <w:r>
        <w:rPr>
          <w:u w:val="single"/>
        </w:rPr>
        <w:t>The American Jewish Experience</w:t>
      </w:r>
      <w:r>
        <w:t>:</w:t>
      </w:r>
    </w:p>
    <w:p w:rsidR="00D7008C" w:rsidRDefault="00D7008C" w:rsidP="00D7008C">
      <w:r>
        <w:t xml:space="preserve">Stephan </w:t>
      </w:r>
      <w:proofErr w:type="spellStart"/>
      <w:r>
        <w:t>Rohrbacher</w:t>
      </w:r>
      <w:proofErr w:type="spellEnd"/>
      <w:r>
        <w:t>, “From Wuerttemberg to America: A Nineteenth Century Village on Its Way to America”, pp. 44-58</w:t>
      </w:r>
    </w:p>
    <w:p w:rsidR="00D7008C" w:rsidRDefault="00D7008C" w:rsidP="00D7008C">
      <w:r>
        <w:t>Barry E. Supple, “A Business Elite:  German-Jewish Financiers in Nineteenth-Century New York,” pp. 99-112</w:t>
      </w:r>
    </w:p>
    <w:p w:rsidR="00D7008C" w:rsidRDefault="00D7008C" w:rsidP="00D7008C"/>
    <w:p w:rsidR="00D7008C" w:rsidRDefault="00D7008C" w:rsidP="00D7008C">
      <w:r>
        <w:t xml:space="preserve">* Letters from immigrants (1853-1880), in Marcus, </w:t>
      </w:r>
      <w:r>
        <w:rPr>
          <w:u w:val="single"/>
        </w:rPr>
        <w:t>The Jew in the American World</w:t>
      </w:r>
      <w:r>
        <w:t>, pp. 192-195</w:t>
      </w:r>
    </w:p>
    <w:p w:rsidR="00D7008C" w:rsidRDefault="00D7008C" w:rsidP="00D7008C">
      <w:r>
        <w:t xml:space="preserve">* Louis </w:t>
      </w:r>
      <w:proofErr w:type="spellStart"/>
      <w:r>
        <w:t>Gratz</w:t>
      </w:r>
      <w:proofErr w:type="spellEnd"/>
      <w:r>
        <w:t xml:space="preserve">, “From Peddler to Regimental Commander” (1861-1862), </w:t>
      </w:r>
      <w:r>
        <w:rPr>
          <w:u w:val="single"/>
        </w:rPr>
        <w:t>ibid</w:t>
      </w:r>
      <w:r>
        <w:t>, pp. 220-224</w:t>
      </w:r>
    </w:p>
    <w:p w:rsidR="00D7008C" w:rsidRDefault="00D7008C" w:rsidP="00D7008C">
      <w:pPr>
        <w:ind w:left="720" w:firstLine="720"/>
      </w:pPr>
    </w:p>
    <w:p w:rsidR="00D7008C" w:rsidRDefault="00D7008C" w:rsidP="00D7008C">
      <w:pPr>
        <w:rPr>
          <w:bCs/>
        </w:rPr>
      </w:pPr>
    </w:p>
    <w:p w:rsidR="00D7008C" w:rsidRDefault="00E054FF" w:rsidP="00D7008C">
      <w:pPr>
        <w:pStyle w:val="Heading1"/>
        <w:jc w:val="left"/>
      </w:pPr>
      <w:r>
        <w:t>Week</w:t>
      </w:r>
      <w:r w:rsidR="008D424C">
        <w:t>s</w:t>
      </w:r>
      <w:r>
        <w:t xml:space="preserve"> 3</w:t>
      </w:r>
      <w:r w:rsidR="008D424C">
        <w:t>-4 (Sep. 7-16</w:t>
      </w:r>
      <w:r w:rsidR="00D7008C">
        <w:t>): The Emergence of Reform Judaism in America</w:t>
      </w:r>
    </w:p>
    <w:p w:rsidR="00E054FF" w:rsidRPr="00E054FF" w:rsidRDefault="00E054FF" w:rsidP="00E054FF">
      <w:pPr>
        <w:rPr>
          <w:b/>
          <w:bCs/>
        </w:rPr>
      </w:pPr>
      <w:r w:rsidRPr="00E054FF">
        <w:rPr>
          <w:b/>
          <w:bCs/>
        </w:rPr>
        <w:t>Class is cancelled on Sep. 5 – Labor Day</w:t>
      </w:r>
    </w:p>
    <w:p w:rsidR="00D7008C" w:rsidRDefault="00D7008C" w:rsidP="00D7008C">
      <w:r>
        <w:t xml:space="preserve">Diner, </w:t>
      </w:r>
      <w:proofErr w:type="gramStart"/>
      <w:r>
        <w:rPr>
          <w:u w:val="single"/>
        </w:rPr>
        <w:t>The</w:t>
      </w:r>
      <w:proofErr w:type="gramEnd"/>
      <w:r>
        <w:rPr>
          <w:u w:val="single"/>
        </w:rPr>
        <w:t xml:space="preserve"> Jews of the United States</w:t>
      </w:r>
      <w:r>
        <w:t>, pp. 117-122, 128-133</w:t>
      </w:r>
    </w:p>
    <w:p w:rsidR="00D7008C" w:rsidRDefault="00D7008C" w:rsidP="00D7008C">
      <w:r>
        <w:rPr>
          <w:u w:val="single"/>
        </w:rPr>
        <w:t>The American Jewish Experience</w:t>
      </w:r>
      <w:r>
        <w:t>:</w:t>
      </w:r>
    </w:p>
    <w:p w:rsidR="00D7008C" w:rsidRDefault="00D7008C" w:rsidP="00D7008C">
      <w:pPr>
        <w:pStyle w:val="NormalWeb"/>
        <w:spacing w:before="0" w:beforeAutospacing="0" w:after="0" w:afterAutospacing="0"/>
      </w:pPr>
      <w:r>
        <w:t>Michael A. Meyer, “America: The Reform’s Movement Land of Promise”, pp. 60-81</w:t>
      </w:r>
    </w:p>
    <w:p w:rsidR="00D7008C" w:rsidRDefault="00D7008C" w:rsidP="00D7008C">
      <w:pPr>
        <w:pStyle w:val="NormalWeb"/>
        <w:spacing w:before="0" w:beforeAutospacing="0" w:after="0" w:afterAutospacing="0"/>
      </w:pPr>
      <w:r>
        <w:t xml:space="preserve"># Karla Goldman, </w:t>
      </w:r>
      <w:r>
        <w:rPr>
          <w:u w:val="single"/>
        </w:rPr>
        <w:t>Beyond the Synagogue Gallery</w:t>
      </w:r>
      <w:r>
        <w:t>, pp. 78-120</w:t>
      </w:r>
    </w:p>
    <w:p w:rsidR="00D7008C" w:rsidRDefault="00D7008C" w:rsidP="00D7008C">
      <w:r>
        <w:t xml:space="preserve"># Dianne Ashton, “The Lessons of the Hebrew Sunday School,” in Pamela </w:t>
      </w:r>
      <w:proofErr w:type="spellStart"/>
      <w:r>
        <w:t>Nadell</w:t>
      </w:r>
      <w:proofErr w:type="spellEnd"/>
      <w:r>
        <w:t xml:space="preserve"> (Ed.), </w:t>
      </w:r>
      <w:r>
        <w:rPr>
          <w:u w:val="single"/>
        </w:rPr>
        <w:t>American Jewish Women’s History</w:t>
      </w:r>
      <w:r>
        <w:t>, pp. 26-38</w:t>
      </w:r>
    </w:p>
    <w:p w:rsidR="00D7008C" w:rsidRDefault="00D7008C" w:rsidP="00D7008C"/>
    <w:p w:rsidR="00D7008C" w:rsidRDefault="00D7008C" w:rsidP="00D7008C">
      <w:pPr>
        <w:rPr>
          <w:bCs/>
        </w:rPr>
      </w:pPr>
      <w:r>
        <w:rPr>
          <w:b/>
        </w:rPr>
        <w:t>*</w:t>
      </w:r>
      <w:r>
        <w:rPr>
          <w:bCs/>
        </w:rPr>
        <w:t xml:space="preserve"> Conference</w:t>
      </w:r>
      <w:r>
        <w:t xml:space="preserve"> of Reform Rabbis, “The Pittsburgh Platform” (1885), Mendes-</w:t>
      </w:r>
      <w:proofErr w:type="spellStart"/>
      <w:r>
        <w:t>Flohr</w:t>
      </w:r>
      <w:proofErr w:type="spellEnd"/>
      <w:r>
        <w:t xml:space="preserve"> and </w:t>
      </w:r>
      <w:proofErr w:type="spellStart"/>
      <w:r>
        <w:t>Reinharz</w:t>
      </w:r>
      <w:proofErr w:type="spellEnd"/>
      <w:r>
        <w:rPr>
          <w:b/>
        </w:rPr>
        <w:t xml:space="preserve"> </w:t>
      </w:r>
      <w:proofErr w:type="gramStart"/>
      <w:r>
        <w:rPr>
          <w:bCs/>
          <w:u w:val="single"/>
        </w:rPr>
        <w:t>The</w:t>
      </w:r>
      <w:proofErr w:type="gramEnd"/>
      <w:r>
        <w:rPr>
          <w:bCs/>
          <w:u w:val="single"/>
        </w:rPr>
        <w:t xml:space="preserve"> Jew in the Modern World,</w:t>
      </w:r>
      <w:r>
        <w:rPr>
          <w:bCs/>
        </w:rPr>
        <w:t xml:space="preserve"> pp. 468-469 </w:t>
      </w:r>
    </w:p>
    <w:p w:rsidR="00D7008C" w:rsidRDefault="00D7008C" w:rsidP="00D7008C">
      <w:r>
        <w:rPr>
          <w:b/>
        </w:rPr>
        <w:t xml:space="preserve">* </w:t>
      </w:r>
      <w:r>
        <w:rPr>
          <w:bCs/>
        </w:rPr>
        <w:t>Statement</w:t>
      </w:r>
      <w:r>
        <w:t xml:space="preserve"> by the Orthodox Congregational Union of America (1898), </w:t>
      </w:r>
      <w:r>
        <w:rPr>
          <w:bCs/>
          <w:u w:val="single"/>
        </w:rPr>
        <w:t>Ibid</w:t>
      </w:r>
      <w:r>
        <w:rPr>
          <w:b/>
        </w:rPr>
        <w:t xml:space="preserve">, </w:t>
      </w:r>
      <w:r>
        <w:t>pp</w:t>
      </w:r>
      <w:r>
        <w:rPr>
          <w:b/>
        </w:rPr>
        <w:t xml:space="preserve">. </w:t>
      </w:r>
      <w:r>
        <w:t>469-470</w:t>
      </w:r>
    </w:p>
    <w:p w:rsidR="00D7008C" w:rsidRDefault="00D7008C" w:rsidP="00D7008C">
      <w:pPr>
        <w:rPr>
          <w:bCs/>
        </w:rPr>
      </w:pPr>
      <w:r>
        <w:rPr>
          <w:b/>
        </w:rPr>
        <w:t xml:space="preserve">* </w:t>
      </w:r>
      <w:r>
        <w:rPr>
          <w:bCs/>
        </w:rPr>
        <w:t xml:space="preserve">“The </w:t>
      </w:r>
      <w:proofErr w:type="spellStart"/>
      <w:r>
        <w:rPr>
          <w:bCs/>
        </w:rPr>
        <w:t>Trefah</w:t>
      </w:r>
      <w:proofErr w:type="spellEnd"/>
      <w:r>
        <w:rPr>
          <w:bCs/>
        </w:rPr>
        <w:t xml:space="preserve"> – </w:t>
      </w:r>
      <w:proofErr w:type="spellStart"/>
      <w:r>
        <w:rPr>
          <w:bCs/>
        </w:rPr>
        <w:t>Unkosher</w:t>
      </w:r>
      <w:proofErr w:type="spellEnd"/>
      <w:r>
        <w:rPr>
          <w:bCs/>
        </w:rPr>
        <w:t xml:space="preserve"> – Banquet” (1883), in </w:t>
      </w:r>
      <w:r>
        <w:t xml:space="preserve">Marcus, </w:t>
      </w:r>
      <w:proofErr w:type="gramStart"/>
      <w:r>
        <w:rPr>
          <w:u w:val="single"/>
        </w:rPr>
        <w:t>The</w:t>
      </w:r>
      <w:proofErr w:type="gramEnd"/>
      <w:r>
        <w:rPr>
          <w:u w:val="single"/>
        </w:rPr>
        <w:t xml:space="preserve"> Jew in the American World</w:t>
      </w:r>
      <w:r>
        <w:t>, pp. 240-241</w:t>
      </w:r>
    </w:p>
    <w:p w:rsidR="00D7008C" w:rsidRDefault="00D7008C" w:rsidP="00D7008C">
      <w:pPr>
        <w:rPr>
          <w:b/>
        </w:rPr>
      </w:pPr>
    </w:p>
    <w:p w:rsidR="00D7008C" w:rsidRDefault="00D7008C" w:rsidP="00D7008C">
      <w:pPr>
        <w:rPr>
          <w:b/>
        </w:rPr>
      </w:pPr>
    </w:p>
    <w:p w:rsidR="00D7008C" w:rsidRDefault="008D424C" w:rsidP="00D7008C">
      <w:pPr>
        <w:pStyle w:val="Heading1"/>
        <w:jc w:val="left"/>
      </w:pPr>
      <w:r>
        <w:t>Week 5 (Sep. 19-Sep. 23</w:t>
      </w:r>
      <w:r w:rsidR="00E054FF">
        <w:t>): Life in America of the Mid-</w:t>
      </w:r>
      <w:r w:rsidR="00D7008C">
        <w:t>19</w:t>
      </w:r>
      <w:r w:rsidR="00D7008C">
        <w:rPr>
          <w:vertAlign w:val="superscript"/>
        </w:rPr>
        <w:t>th</w:t>
      </w:r>
      <w:r w:rsidR="00D7008C">
        <w:t xml:space="preserve"> Century</w:t>
      </w:r>
    </w:p>
    <w:p w:rsidR="00D7008C" w:rsidRDefault="00D7008C" w:rsidP="00D7008C">
      <w:r>
        <w:t xml:space="preserve">Diner, </w:t>
      </w:r>
      <w:proofErr w:type="gramStart"/>
      <w:r>
        <w:rPr>
          <w:u w:val="single"/>
        </w:rPr>
        <w:t>The</w:t>
      </w:r>
      <w:proofErr w:type="gramEnd"/>
      <w:r>
        <w:rPr>
          <w:u w:val="single"/>
        </w:rPr>
        <w:t xml:space="preserve"> Jews of the United States</w:t>
      </w:r>
      <w:r>
        <w:t>, pp. 155-160, 162-169</w:t>
      </w:r>
    </w:p>
    <w:p w:rsidR="00D7008C" w:rsidRDefault="00D7008C" w:rsidP="00D7008C">
      <w:r>
        <w:rPr>
          <w:u w:val="single"/>
        </w:rPr>
        <w:t>The American Jewish Experience</w:t>
      </w:r>
      <w:r>
        <w:t>:</w:t>
      </w:r>
    </w:p>
    <w:p w:rsidR="00D7008C" w:rsidRDefault="00D7008C" w:rsidP="00D7008C">
      <w:r>
        <w:t>Naomi W. Cohen, “The Christian Agenda”, pp. 82-97</w:t>
      </w:r>
    </w:p>
    <w:p w:rsidR="00D7008C" w:rsidRDefault="00D7008C" w:rsidP="00D7008C"/>
    <w:p w:rsidR="00D7008C" w:rsidRDefault="00D7008C" w:rsidP="00D7008C">
      <w:r>
        <w:t xml:space="preserve"># Gary L. Bunker &amp; John </w:t>
      </w:r>
      <w:proofErr w:type="spellStart"/>
      <w:r>
        <w:t>Appel</w:t>
      </w:r>
      <w:proofErr w:type="spellEnd"/>
      <w:r>
        <w:t xml:space="preserve">, “’Shoddy’, Anti-Semitism, and the Civil War”, </w:t>
      </w:r>
      <w:r>
        <w:rPr>
          <w:u w:val="single"/>
        </w:rPr>
        <w:t>American Jewish History</w:t>
      </w:r>
      <w:r>
        <w:t xml:space="preserve"> 82 (1994), pp. 43-71</w:t>
      </w:r>
    </w:p>
    <w:p w:rsidR="00D7008C" w:rsidRDefault="00D7008C" w:rsidP="00D7008C"/>
    <w:p w:rsidR="00D7008C" w:rsidRDefault="00D7008C" w:rsidP="00D7008C">
      <w:pPr>
        <w:rPr>
          <w:bCs/>
        </w:rPr>
      </w:pPr>
      <w:r>
        <w:t xml:space="preserve">* I. J. Benjamin, “The Education of Jewish Women in America” (1859-1862), in Marcus, </w:t>
      </w:r>
      <w:proofErr w:type="gramStart"/>
      <w:r>
        <w:rPr>
          <w:u w:val="single"/>
        </w:rPr>
        <w:t>The</w:t>
      </w:r>
      <w:proofErr w:type="gramEnd"/>
      <w:r>
        <w:rPr>
          <w:u w:val="single"/>
        </w:rPr>
        <w:t xml:space="preserve"> Jew in the American World</w:t>
      </w:r>
      <w:r>
        <w:t>, pp. 253-255</w:t>
      </w:r>
    </w:p>
    <w:p w:rsidR="00D7008C" w:rsidRDefault="00D7008C" w:rsidP="00D7008C">
      <w:pPr>
        <w:pStyle w:val="NormalWeb"/>
        <w:spacing w:before="0" w:beforeAutospacing="0" w:after="0" w:afterAutospacing="0"/>
      </w:pPr>
      <w:proofErr w:type="gramStart"/>
      <w:r>
        <w:t>* ”</w:t>
      </w:r>
      <w:proofErr w:type="gramEnd"/>
      <w:r>
        <w:t>The Manhattan Beach Affair” (1879), Mendes-</w:t>
      </w:r>
      <w:proofErr w:type="spellStart"/>
      <w:r>
        <w:t>Flohr</w:t>
      </w:r>
      <w:proofErr w:type="spellEnd"/>
      <w:r>
        <w:t xml:space="preserve"> and </w:t>
      </w:r>
      <w:proofErr w:type="spellStart"/>
      <w:r>
        <w:t>Reinharz</w:t>
      </w:r>
      <w:proofErr w:type="spellEnd"/>
      <w:r>
        <w:t xml:space="preserve">, </w:t>
      </w:r>
      <w:r>
        <w:rPr>
          <w:bCs/>
          <w:u w:val="single"/>
        </w:rPr>
        <w:t>The Jew in the Modern World,</w:t>
      </w:r>
      <w:r>
        <w:rPr>
          <w:bCs/>
        </w:rPr>
        <w:t xml:space="preserve"> pp. 465-466</w:t>
      </w:r>
    </w:p>
    <w:p w:rsidR="00D7008C" w:rsidRDefault="00D7008C" w:rsidP="00D7008C">
      <w:pPr>
        <w:pStyle w:val="Heading1"/>
        <w:jc w:val="left"/>
      </w:pPr>
    </w:p>
    <w:p w:rsidR="00D7008C" w:rsidRDefault="00D7008C" w:rsidP="00D7008C"/>
    <w:p w:rsidR="00D7008C" w:rsidRDefault="008D424C" w:rsidP="008D424C">
      <w:pPr>
        <w:pStyle w:val="Heading1"/>
        <w:jc w:val="left"/>
      </w:pPr>
      <w:r>
        <w:lastRenderedPageBreak/>
        <w:t>Weeks 6-7</w:t>
      </w:r>
      <w:r w:rsidR="00D7008C">
        <w:t xml:space="preserve"> (</w:t>
      </w:r>
      <w:r>
        <w:t>Sep. 26-Oct. 5</w:t>
      </w:r>
      <w:r w:rsidR="00D7008C">
        <w:t>): The Immigrants from Eastern Europe</w:t>
      </w:r>
    </w:p>
    <w:p w:rsidR="008D424C" w:rsidRDefault="008D424C" w:rsidP="008D424C">
      <w:pPr>
        <w:rPr>
          <w:b/>
          <w:bCs/>
        </w:rPr>
      </w:pPr>
      <w:r w:rsidRPr="00520F63">
        <w:rPr>
          <w:b/>
          <w:bCs/>
        </w:rPr>
        <w:t>Class is cancelled on Sep. 28-30 (Rosh Hashanah) and Oct. 7 (Yom Kippur)</w:t>
      </w:r>
    </w:p>
    <w:p w:rsidR="00EF7F3E" w:rsidRPr="00520F63" w:rsidRDefault="00EF7F3E" w:rsidP="008D424C">
      <w:pPr>
        <w:rPr>
          <w:b/>
          <w:bCs/>
        </w:rPr>
      </w:pPr>
      <w:r>
        <w:rPr>
          <w:b/>
          <w:bCs/>
        </w:rPr>
        <w:t>In-class midterm exam on Wednesday, Oct. 5</w:t>
      </w:r>
    </w:p>
    <w:p w:rsidR="00D7008C" w:rsidRDefault="00D7008C" w:rsidP="00D7008C">
      <w:r>
        <w:t xml:space="preserve">Diner, </w:t>
      </w:r>
      <w:r>
        <w:rPr>
          <w:u w:val="single"/>
        </w:rPr>
        <w:t>The Jews of the United States</w:t>
      </w:r>
      <w:r>
        <w:t>, pp. 88-99, 103-111, 122-128, 147-154</w:t>
      </w:r>
    </w:p>
    <w:p w:rsidR="00D7008C" w:rsidRDefault="00D7008C" w:rsidP="00D7008C">
      <w:r>
        <w:rPr>
          <w:u w:val="single"/>
        </w:rPr>
        <w:t>The American Jewish Experience</w:t>
      </w:r>
      <w:r>
        <w:t>:</w:t>
      </w:r>
    </w:p>
    <w:p w:rsidR="00D7008C" w:rsidRDefault="00D7008C" w:rsidP="00D7008C">
      <w:r>
        <w:t xml:space="preserve">Deborah </w:t>
      </w:r>
      <w:proofErr w:type="spellStart"/>
      <w:r>
        <w:t>Dwork</w:t>
      </w:r>
      <w:proofErr w:type="spellEnd"/>
      <w:r>
        <w:t>, “Immigrant Jews on the Lower East Side of New York:  1880-1914,” pp. 120-135</w:t>
      </w:r>
    </w:p>
    <w:p w:rsidR="00D7008C" w:rsidRDefault="00D7008C" w:rsidP="00D7008C">
      <w:r>
        <w:t xml:space="preserve">Moses </w:t>
      </w:r>
      <w:proofErr w:type="spellStart"/>
      <w:r>
        <w:t>Rischin</w:t>
      </w:r>
      <w:proofErr w:type="spellEnd"/>
      <w:r>
        <w:t>, “Germans versus Russians,” pp. 138-150.</w:t>
      </w:r>
    </w:p>
    <w:p w:rsidR="00D7008C" w:rsidRDefault="00D7008C" w:rsidP="00D7008C"/>
    <w:p w:rsidR="00D7008C" w:rsidRDefault="00D7008C" w:rsidP="00D7008C">
      <w:r>
        <w:t xml:space="preserve"># Irving Howe, </w:t>
      </w:r>
      <w:r>
        <w:rPr>
          <w:u w:val="single"/>
        </w:rPr>
        <w:t>World of Our Fathers</w:t>
      </w:r>
      <w:r>
        <w:t>, 26-63</w:t>
      </w:r>
    </w:p>
    <w:p w:rsidR="00D7008C" w:rsidRDefault="00D7008C" w:rsidP="00D7008C">
      <w:pPr>
        <w:rPr>
          <w:b/>
        </w:rPr>
      </w:pPr>
    </w:p>
    <w:p w:rsidR="00D7008C" w:rsidRDefault="009B425A" w:rsidP="00D7008C">
      <w:r>
        <w:rPr>
          <w:b/>
        </w:rPr>
        <w:t>*</w:t>
      </w:r>
      <w:r w:rsidR="00D7008C">
        <w:rPr>
          <w:b/>
        </w:rPr>
        <w:t xml:space="preserve"> </w:t>
      </w:r>
      <w:r w:rsidR="00D7008C">
        <w:t xml:space="preserve">M. E. Ravage, </w:t>
      </w:r>
      <w:proofErr w:type="gramStart"/>
      <w:r w:rsidR="00D7008C">
        <w:rPr>
          <w:u w:val="single"/>
        </w:rPr>
        <w:t>An</w:t>
      </w:r>
      <w:proofErr w:type="gramEnd"/>
      <w:r w:rsidR="00D7008C">
        <w:rPr>
          <w:u w:val="single"/>
        </w:rPr>
        <w:t xml:space="preserve"> American in the Making</w:t>
      </w:r>
      <w:r w:rsidR="00D7008C">
        <w:t>, pp. 70-83</w:t>
      </w:r>
    </w:p>
    <w:p w:rsidR="00D7008C" w:rsidRDefault="00D7008C" w:rsidP="00D7008C">
      <w:r>
        <w:t xml:space="preserve">* Irving Howe and Kenneth </w:t>
      </w:r>
      <w:proofErr w:type="spellStart"/>
      <w:r>
        <w:t>Libo</w:t>
      </w:r>
      <w:proofErr w:type="spellEnd"/>
      <w:r>
        <w:t xml:space="preserve">, </w:t>
      </w:r>
      <w:r>
        <w:rPr>
          <w:u w:val="single"/>
        </w:rPr>
        <w:t>How We Lived</w:t>
      </w:r>
      <w:r>
        <w:t xml:space="preserve"> (excerpts from memoirs and the Yiddish press), pp. 26-35</w:t>
      </w:r>
    </w:p>
    <w:p w:rsidR="00D7008C" w:rsidRDefault="00D7008C" w:rsidP="00D7008C">
      <w:pPr>
        <w:pStyle w:val="Heading1"/>
        <w:jc w:val="left"/>
      </w:pPr>
    </w:p>
    <w:p w:rsidR="00D7008C" w:rsidRDefault="00D7008C" w:rsidP="00D7008C">
      <w:pPr>
        <w:pStyle w:val="Heading1"/>
        <w:jc w:val="left"/>
      </w:pPr>
    </w:p>
    <w:p w:rsidR="00D7008C" w:rsidRDefault="00520F63" w:rsidP="008D424C">
      <w:pPr>
        <w:pStyle w:val="Heading1"/>
        <w:jc w:val="left"/>
      </w:pPr>
      <w:r>
        <w:t xml:space="preserve">Week </w:t>
      </w:r>
      <w:r w:rsidR="008D424C">
        <w:t>8</w:t>
      </w:r>
      <w:r w:rsidR="00D7008C">
        <w:t xml:space="preserve"> (</w:t>
      </w:r>
      <w:r w:rsidR="008D424C">
        <w:t>Oct. 10-12</w:t>
      </w:r>
      <w:r w:rsidR="00D7008C">
        <w:t>): Life in Progressive America, World War I and Intra-Jewish disputes</w:t>
      </w:r>
    </w:p>
    <w:p w:rsidR="008D424C" w:rsidRDefault="008D424C" w:rsidP="008D424C">
      <w:pPr>
        <w:pStyle w:val="BodyText"/>
      </w:pPr>
      <w:r>
        <w:t xml:space="preserve">Class is cancelled on Oct. 14 (Sukkot)  </w:t>
      </w:r>
    </w:p>
    <w:p w:rsidR="00D7008C" w:rsidRDefault="00D7008C" w:rsidP="00D7008C">
      <w:r>
        <w:t xml:space="preserve">Diner, </w:t>
      </w:r>
      <w:proofErr w:type="gramStart"/>
      <w:r>
        <w:rPr>
          <w:u w:val="single"/>
        </w:rPr>
        <w:t>The</w:t>
      </w:r>
      <w:proofErr w:type="gramEnd"/>
      <w:r>
        <w:rPr>
          <w:u w:val="single"/>
        </w:rPr>
        <w:t xml:space="preserve"> Jews of the United States</w:t>
      </w:r>
      <w:r>
        <w:t>, pp. 160-161, 169-202</w:t>
      </w:r>
    </w:p>
    <w:p w:rsidR="00D7008C" w:rsidRDefault="00D7008C" w:rsidP="00D7008C">
      <w:r>
        <w:rPr>
          <w:u w:val="single"/>
        </w:rPr>
        <w:t>The American Jewish Experience</w:t>
      </w:r>
      <w:r>
        <w:t>:</w:t>
      </w:r>
    </w:p>
    <w:p w:rsidR="00D7008C" w:rsidRDefault="00D7008C" w:rsidP="00D7008C">
      <w:r>
        <w:t xml:space="preserve">Melvyn I. </w:t>
      </w:r>
      <w:proofErr w:type="spellStart"/>
      <w:r>
        <w:t>Urofsky</w:t>
      </w:r>
      <w:proofErr w:type="spellEnd"/>
      <w:r>
        <w:t>, “Zionism: An American Experience,” pp. 245-255</w:t>
      </w:r>
    </w:p>
    <w:p w:rsidR="00D7008C" w:rsidRDefault="00D7008C" w:rsidP="00D7008C">
      <w:r>
        <w:t xml:space="preserve">Andrew R. </w:t>
      </w:r>
      <w:proofErr w:type="spellStart"/>
      <w:r>
        <w:t>Heinze</w:t>
      </w:r>
      <w:proofErr w:type="spellEnd"/>
      <w:r>
        <w:t>, “Adapting to Abundance: Luxuries, Holidays, and Jewish Identity”, pp. 165-182</w:t>
      </w:r>
    </w:p>
    <w:p w:rsidR="00D7008C" w:rsidRDefault="00D7008C" w:rsidP="00D7008C"/>
    <w:p w:rsidR="00D7008C" w:rsidRDefault="00D7008C" w:rsidP="00D7008C">
      <w:r>
        <w:t xml:space="preserve"># Eric L. Goldstein, </w:t>
      </w:r>
      <w:proofErr w:type="gramStart"/>
      <w:r>
        <w:rPr>
          <w:u w:val="single"/>
        </w:rPr>
        <w:t>The</w:t>
      </w:r>
      <w:proofErr w:type="gramEnd"/>
      <w:r>
        <w:rPr>
          <w:u w:val="single"/>
        </w:rPr>
        <w:t xml:space="preserve"> Price of Whiteness</w:t>
      </w:r>
      <w:r>
        <w:t>, pp. 51-85</w:t>
      </w:r>
    </w:p>
    <w:p w:rsidR="00D7008C" w:rsidRDefault="00D7008C" w:rsidP="00D7008C">
      <w:pPr>
        <w:pStyle w:val="NormalWeb"/>
        <w:spacing w:before="0" w:beforeAutospacing="0" w:after="0" w:afterAutospacing="0"/>
      </w:pPr>
    </w:p>
    <w:p w:rsidR="00D7008C" w:rsidRDefault="00D7008C" w:rsidP="00D7008C">
      <w:pPr>
        <w:pStyle w:val="NormalWeb"/>
        <w:spacing w:before="0" w:beforeAutospacing="0" w:after="0" w:afterAutospacing="0"/>
      </w:pPr>
      <w:r>
        <w:t xml:space="preserve">* Morris </w:t>
      </w:r>
      <w:proofErr w:type="spellStart"/>
      <w:r>
        <w:t>Winchevsky</w:t>
      </w:r>
      <w:proofErr w:type="spellEnd"/>
      <w:r>
        <w:t xml:space="preserve">, “A Socialist Parodies the Ten Commandments” (1895), Marcus, </w:t>
      </w:r>
      <w:proofErr w:type="gramStart"/>
      <w:r>
        <w:rPr>
          <w:u w:val="single"/>
        </w:rPr>
        <w:t>The</w:t>
      </w:r>
      <w:proofErr w:type="gramEnd"/>
      <w:r>
        <w:rPr>
          <w:u w:val="single"/>
        </w:rPr>
        <w:t xml:space="preserve"> Jew in the American World</w:t>
      </w:r>
      <w:r>
        <w:t>, pp. 346-347</w:t>
      </w:r>
    </w:p>
    <w:p w:rsidR="00D7008C" w:rsidRDefault="00D7008C" w:rsidP="00D7008C">
      <w:pPr>
        <w:rPr>
          <w:bCs/>
        </w:rPr>
      </w:pPr>
      <w:r>
        <w:t xml:space="preserve">* “Resolutions of the American Jewish Congress” (1918), </w:t>
      </w:r>
      <w:r>
        <w:rPr>
          <w:u w:val="single"/>
        </w:rPr>
        <w:t>ibid</w:t>
      </w:r>
      <w:r>
        <w:t>, pp. 337-339</w:t>
      </w:r>
    </w:p>
    <w:p w:rsidR="00D7008C" w:rsidRDefault="00D7008C" w:rsidP="00D7008C">
      <w:pPr>
        <w:pStyle w:val="NormalWeb"/>
        <w:spacing w:before="0" w:beforeAutospacing="0" w:after="0" w:afterAutospacing="0"/>
        <w:rPr>
          <w:bCs/>
        </w:rPr>
      </w:pPr>
      <w:r>
        <w:t xml:space="preserve">* Israel </w:t>
      </w:r>
      <w:proofErr w:type="spellStart"/>
      <w:r>
        <w:t>Friedlaender</w:t>
      </w:r>
      <w:proofErr w:type="spellEnd"/>
      <w:r>
        <w:t xml:space="preserve">, “The Division </w:t>
      </w:r>
      <w:proofErr w:type="gramStart"/>
      <w:r>
        <w:t>Between</w:t>
      </w:r>
      <w:proofErr w:type="gramEnd"/>
      <w:r>
        <w:t xml:space="preserve"> German and Russian Jews” (1915), Mendes-</w:t>
      </w:r>
      <w:proofErr w:type="spellStart"/>
      <w:r>
        <w:t>Flohr</w:t>
      </w:r>
      <w:proofErr w:type="spellEnd"/>
      <w:r>
        <w:t xml:space="preserve"> and </w:t>
      </w:r>
      <w:proofErr w:type="spellStart"/>
      <w:r>
        <w:t>Reinharz</w:t>
      </w:r>
      <w:proofErr w:type="spellEnd"/>
      <w:r>
        <w:t xml:space="preserve">, </w:t>
      </w:r>
      <w:r>
        <w:rPr>
          <w:bCs/>
          <w:u w:val="single"/>
        </w:rPr>
        <w:t>The Jew in the Modern World,</w:t>
      </w:r>
      <w:r>
        <w:rPr>
          <w:bCs/>
        </w:rPr>
        <w:t xml:space="preserve"> pp. 486-487</w:t>
      </w:r>
    </w:p>
    <w:p w:rsidR="00D7008C" w:rsidRDefault="00D7008C" w:rsidP="00D7008C">
      <w:pPr>
        <w:pStyle w:val="NormalWeb"/>
        <w:spacing w:before="0" w:beforeAutospacing="0" w:after="0" w:afterAutospacing="0"/>
      </w:pPr>
      <w:r>
        <w:rPr>
          <w:bCs/>
        </w:rPr>
        <w:t xml:space="preserve">* Anti-Defamation League, “A Statement of Policy” (1915), </w:t>
      </w:r>
      <w:r>
        <w:rPr>
          <w:bCs/>
          <w:u w:val="single"/>
        </w:rPr>
        <w:t>ibid</w:t>
      </w:r>
      <w:r>
        <w:rPr>
          <w:bCs/>
        </w:rPr>
        <w:t>, pp. 507-509</w:t>
      </w:r>
    </w:p>
    <w:p w:rsidR="00D7008C" w:rsidRDefault="00D7008C" w:rsidP="00D7008C">
      <w:pPr>
        <w:pStyle w:val="NormalWeb"/>
        <w:spacing w:before="0" w:beforeAutospacing="0" w:after="0" w:afterAutospacing="0"/>
      </w:pPr>
    </w:p>
    <w:p w:rsidR="00D7008C" w:rsidRDefault="00D7008C" w:rsidP="00D7008C">
      <w:pPr>
        <w:pStyle w:val="NormalWeb"/>
        <w:spacing w:before="0" w:beforeAutospacing="0" w:after="0" w:afterAutospacing="0"/>
      </w:pPr>
    </w:p>
    <w:p w:rsidR="00520F63" w:rsidRDefault="008D424C" w:rsidP="00D7008C">
      <w:pPr>
        <w:pStyle w:val="BodyText"/>
      </w:pPr>
      <w:r>
        <w:t>Week 9 (Oct. 17-19</w:t>
      </w:r>
      <w:r w:rsidR="00D7008C">
        <w:t>): The Jewish “Problem” in the Interwar Period</w:t>
      </w:r>
    </w:p>
    <w:p w:rsidR="008D424C" w:rsidRDefault="008D424C" w:rsidP="008D424C">
      <w:pPr>
        <w:rPr>
          <w:b/>
        </w:rPr>
      </w:pPr>
      <w:r>
        <w:rPr>
          <w:b/>
        </w:rPr>
        <w:t>Class is cancelled on Oct. 21 (</w:t>
      </w:r>
      <w:proofErr w:type="spellStart"/>
      <w:r>
        <w:rPr>
          <w:b/>
        </w:rPr>
        <w:t>Simchat</w:t>
      </w:r>
      <w:proofErr w:type="spellEnd"/>
      <w:r>
        <w:rPr>
          <w:b/>
        </w:rPr>
        <w:t xml:space="preserve"> Torah)</w:t>
      </w:r>
    </w:p>
    <w:p w:rsidR="00D7008C" w:rsidRDefault="00D7008C" w:rsidP="00D7008C">
      <w:r>
        <w:t xml:space="preserve">Diner, </w:t>
      </w:r>
      <w:proofErr w:type="gramStart"/>
      <w:r>
        <w:rPr>
          <w:u w:val="single"/>
        </w:rPr>
        <w:t>The</w:t>
      </w:r>
      <w:proofErr w:type="gramEnd"/>
      <w:r>
        <w:rPr>
          <w:u w:val="single"/>
        </w:rPr>
        <w:t xml:space="preserve"> Jews of the United States</w:t>
      </w:r>
      <w:r>
        <w:t>, pp. 205-215, 222-246</w:t>
      </w:r>
    </w:p>
    <w:p w:rsidR="00D7008C" w:rsidRDefault="00D7008C" w:rsidP="00D7008C">
      <w:pPr>
        <w:rPr>
          <w:u w:val="single"/>
        </w:rPr>
      </w:pPr>
      <w:r>
        <w:rPr>
          <w:u w:val="single"/>
        </w:rPr>
        <w:t>The American Jewish Experience:</w:t>
      </w:r>
    </w:p>
    <w:p w:rsidR="00D7008C" w:rsidRDefault="00D7008C" w:rsidP="00D7008C">
      <w:r>
        <w:t xml:space="preserve">Leo P. </w:t>
      </w:r>
      <w:proofErr w:type="spellStart"/>
      <w:r>
        <w:t>Ribuffo</w:t>
      </w:r>
      <w:proofErr w:type="spellEnd"/>
      <w:r>
        <w:t xml:space="preserve">, “Henry Ford and </w:t>
      </w:r>
      <w:proofErr w:type="gramStart"/>
      <w:r>
        <w:rPr>
          <w:i/>
        </w:rPr>
        <w:t>The</w:t>
      </w:r>
      <w:proofErr w:type="gramEnd"/>
      <w:r>
        <w:rPr>
          <w:i/>
        </w:rPr>
        <w:t xml:space="preserve"> International Jew</w:t>
      </w:r>
      <w:r>
        <w:t>”, pp. 199-218</w:t>
      </w:r>
    </w:p>
    <w:p w:rsidR="00D7008C" w:rsidRDefault="00D7008C" w:rsidP="00D7008C">
      <w:pPr>
        <w:rPr>
          <w:bCs/>
        </w:rPr>
      </w:pPr>
      <w:r>
        <w:rPr>
          <w:bCs/>
        </w:rPr>
        <w:t xml:space="preserve">Lloyd P. Gartner, “The </w:t>
      </w:r>
      <w:proofErr w:type="spellStart"/>
      <w:r>
        <w:rPr>
          <w:bCs/>
        </w:rPr>
        <w:t>Midpassage</w:t>
      </w:r>
      <w:proofErr w:type="spellEnd"/>
      <w:r>
        <w:rPr>
          <w:bCs/>
        </w:rPr>
        <w:t xml:space="preserve"> of American Jewry”, pp. 256-267</w:t>
      </w:r>
    </w:p>
    <w:p w:rsidR="00D7008C" w:rsidRDefault="00D7008C" w:rsidP="00D7008C">
      <w:pPr>
        <w:rPr>
          <w:b/>
        </w:rPr>
      </w:pPr>
    </w:p>
    <w:p w:rsidR="00D7008C" w:rsidRDefault="00D7008C" w:rsidP="00D7008C">
      <w:r>
        <w:rPr>
          <w:b/>
        </w:rPr>
        <w:t xml:space="preserve"># </w:t>
      </w:r>
      <w:r>
        <w:t>Jonathan Pollack, “Jewish Problems: Eastern and Western Jewish Identities in</w:t>
      </w:r>
    </w:p>
    <w:p w:rsidR="00D7008C" w:rsidRDefault="00D7008C" w:rsidP="00D7008C">
      <w:r>
        <w:t xml:space="preserve">Conflict at the University of Wisconsin, 1919-1941,” </w:t>
      </w:r>
      <w:r>
        <w:rPr>
          <w:u w:val="single"/>
        </w:rPr>
        <w:t>American Jewish History</w:t>
      </w:r>
      <w:r>
        <w:t xml:space="preserve"> (2001), pp. 161-180</w:t>
      </w:r>
    </w:p>
    <w:p w:rsidR="00D7008C" w:rsidRDefault="00D7008C" w:rsidP="00D7008C">
      <w:r>
        <w:t xml:space="preserve"># Ruth Gay, </w:t>
      </w:r>
      <w:r>
        <w:rPr>
          <w:u w:val="single"/>
        </w:rPr>
        <w:t>Unfinished People</w:t>
      </w:r>
      <w:r>
        <w:t>, pp. 56-61</w:t>
      </w:r>
    </w:p>
    <w:p w:rsidR="00D7008C" w:rsidRDefault="00D7008C" w:rsidP="00D7008C">
      <w:pPr>
        <w:rPr>
          <w:b/>
        </w:rPr>
      </w:pPr>
    </w:p>
    <w:p w:rsidR="00D7008C" w:rsidRDefault="00D7008C" w:rsidP="00D7008C">
      <w:pPr>
        <w:pStyle w:val="NormalWeb"/>
        <w:spacing w:before="0" w:beforeAutospacing="0" w:after="0" w:afterAutospacing="0"/>
        <w:rPr>
          <w:bCs/>
        </w:rPr>
      </w:pPr>
      <w:r>
        <w:rPr>
          <w:b/>
        </w:rPr>
        <w:lastRenderedPageBreak/>
        <w:t xml:space="preserve">* </w:t>
      </w:r>
      <w:r>
        <w:t>Henry Ford, “The International Jew:  The World’s Problem” (1920), Mendes-</w:t>
      </w:r>
      <w:proofErr w:type="spellStart"/>
      <w:r>
        <w:t>Flohr</w:t>
      </w:r>
      <w:proofErr w:type="spellEnd"/>
      <w:r>
        <w:t xml:space="preserve"> and </w:t>
      </w:r>
      <w:proofErr w:type="spellStart"/>
      <w:r>
        <w:t>Reinharz</w:t>
      </w:r>
      <w:proofErr w:type="spellEnd"/>
      <w:r>
        <w:t xml:space="preserve">, </w:t>
      </w:r>
      <w:r>
        <w:rPr>
          <w:bCs/>
          <w:u w:val="single"/>
        </w:rPr>
        <w:t>The Jew in the Modern World,</w:t>
      </w:r>
      <w:r>
        <w:rPr>
          <w:bCs/>
        </w:rPr>
        <w:t xml:space="preserve"> pp. 512-514</w:t>
      </w:r>
    </w:p>
    <w:p w:rsidR="00D7008C" w:rsidRDefault="00D7008C" w:rsidP="00D7008C">
      <w:pPr>
        <w:pStyle w:val="NormalWeb"/>
        <w:spacing w:before="0" w:beforeAutospacing="0" w:after="0" w:afterAutospacing="0"/>
      </w:pPr>
      <w:r>
        <w:t xml:space="preserve">* “A Protest </w:t>
      </w:r>
      <w:proofErr w:type="gramStart"/>
      <w:r>
        <w:t>Against</w:t>
      </w:r>
      <w:proofErr w:type="gramEnd"/>
      <w:r>
        <w:t xml:space="preserve"> Antisemitism” (1921), </w:t>
      </w:r>
      <w:r>
        <w:rPr>
          <w:u w:val="single"/>
        </w:rPr>
        <w:t>ibid</w:t>
      </w:r>
      <w:r>
        <w:t>, pp. 514-515</w:t>
      </w:r>
    </w:p>
    <w:p w:rsidR="00D7008C" w:rsidRDefault="00D7008C" w:rsidP="00D7008C">
      <w:pPr>
        <w:rPr>
          <w:b/>
        </w:rPr>
      </w:pPr>
    </w:p>
    <w:p w:rsidR="00D7008C" w:rsidRDefault="00D7008C" w:rsidP="00D7008C">
      <w:pPr>
        <w:rPr>
          <w:b/>
        </w:rPr>
      </w:pPr>
    </w:p>
    <w:p w:rsidR="00D7008C" w:rsidRDefault="008D424C" w:rsidP="008D424C">
      <w:pPr>
        <w:pStyle w:val="Heading3"/>
        <w:rPr>
          <w:bCs w:val="0"/>
        </w:rPr>
      </w:pPr>
      <w:r>
        <w:rPr>
          <w:bCs w:val="0"/>
        </w:rPr>
        <w:t>Week 10 (Oct. 24-28</w:t>
      </w:r>
      <w:r w:rsidR="00D7008C">
        <w:rPr>
          <w:bCs w:val="0"/>
        </w:rPr>
        <w:t>): Revisiting Reform and the Changing Face of Jewish Tradition</w:t>
      </w:r>
    </w:p>
    <w:p w:rsidR="00D7008C" w:rsidRDefault="00D7008C" w:rsidP="00D7008C">
      <w:r>
        <w:t xml:space="preserve">Diner, </w:t>
      </w:r>
      <w:proofErr w:type="gramStart"/>
      <w:r>
        <w:rPr>
          <w:u w:val="single"/>
        </w:rPr>
        <w:t>The</w:t>
      </w:r>
      <w:proofErr w:type="gramEnd"/>
      <w:r>
        <w:rPr>
          <w:u w:val="single"/>
        </w:rPr>
        <w:t xml:space="preserve"> Jews of the United States</w:t>
      </w:r>
      <w:r>
        <w:t>, pp. 246-258</w:t>
      </w:r>
    </w:p>
    <w:p w:rsidR="00D7008C" w:rsidRDefault="00D7008C" w:rsidP="00D7008C">
      <w:r>
        <w:t xml:space="preserve"># Jeffrey </w:t>
      </w:r>
      <w:proofErr w:type="spellStart"/>
      <w:r>
        <w:t>Gurock</w:t>
      </w:r>
      <w:proofErr w:type="spellEnd"/>
      <w:r>
        <w:t xml:space="preserve">, “The Winnowing of American Orthodoxy”, </w:t>
      </w:r>
      <w:r>
        <w:rPr>
          <w:u w:val="single"/>
        </w:rPr>
        <w:t>American Jewish Orthodoxy in Historical Perspective</w:t>
      </w:r>
      <w:r>
        <w:t>, pp. 299-312</w:t>
      </w:r>
    </w:p>
    <w:p w:rsidR="00D7008C" w:rsidRDefault="00D7008C" w:rsidP="00D7008C">
      <w:r>
        <w:t xml:space="preserve"># David Kaufman, </w:t>
      </w:r>
      <w:proofErr w:type="spellStart"/>
      <w:r>
        <w:rPr>
          <w:u w:val="single"/>
        </w:rPr>
        <w:t>Shul</w:t>
      </w:r>
      <w:proofErr w:type="spellEnd"/>
      <w:r>
        <w:rPr>
          <w:u w:val="single"/>
        </w:rPr>
        <w:t xml:space="preserve"> </w:t>
      </w:r>
      <w:proofErr w:type="gramStart"/>
      <w:r>
        <w:rPr>
          <w:u w:val="single"/>
        </w:rPr>
        <w:t>With</w:t>
      </w:r>
      <w:proofErr w:type="gramEnd"/>
      <w:r>
        <w:rPr>
          <w:u w:val="single"/>
        </w:rPr>
        <w:t xml:space="preserve"> a Pool: The Synagogue-Center in American Jewish History</w:t>
      </w:r>
      <w:r>
        <w:t>, pp. 242-274</w:t>
      </w:r>
    </w:p>
    <w:p w:rsidR="00D7008C" w:rsidRDefault="00D7008C" w:rsidP="00D7008C">
      <w:pPr>
        <w:rPr>
          <w:b/>
        </w:rPr>
      </w:pPr>
    </w:p>
    <w:p w:rsidR="00D7008C" w:rsidRDefault="00D7008C" w:rsidP="00D7008C">
      <w:pPr>
        <w:pStyle w:val="NormalWeb"/>
        <w:spacing w:before="0" w:beforeAutospacing="0" w:after="0" w:afterAutospacing="0"/>
      </w:pPr>
      <w:r>
        <w:rPr>
          <w:b/>
        </w:rPr>
        <w:t>*</w:t>
      </w:r>
      <w:r>
        <w:t>Mordecai Kaplan, “The Reconstruction of Judaism” (1920), Mendes-</w:t>
      </w:r>
      <w:proofErr w:type="spellStart"/>
      <w:r>
        <w:t>Flohr</w:t>
      </w:r>
      <w:proofErr w:type="spellEnd"/>
      <w:r>
        <w:t xml:space="preserve"> and </w:t>
      </w:r>
      <w:proofErr w:type="spellStart"/>
      <w:r>
        <w:t>Reinharz</w:t>
      </w:r>
      <w:proofErr w:type="spellEnd"/>
      <w:r>
        <w:t xml:space="preserve">, </w:t>
      </w:r>
      <w:proofErr w:type="gramStart"/>
      <w:r>
        <w:rPr>
          <w:bCs/>
          <w:u w:val="single"/>
        </w:rPr>
        <w:t>The</w:t>
      </w:r>
      <w:proofErr w:type="gramEnd"/>
      <w:r>
        <w:rPr>
          <w:bCs/>
          <w:u w:val="single"/>
        </w:rPr>
        <w:t xml:space="preserve"> Jew in the Modern World</w:t>
      </w:r>
      <w:r>
        <w:rPr>
          <w:bCs/>
        </w:rPr>
        <w:t>, pp. 499-502</w:t>
      </w:r>
    </w:p>
    <w:p w:rsidR="00D7008C" w:rsidRDefault="00D7008C" w:rsidP="00D7008C">
      <w:r>
        <w:rPr>
          <w:b/>
        </w:rPr>
        <w:t>*</w:t>
      </w:r>
      <w:r>
        <w:t xml:space="preserve">Bernard Revel, “The American Yeshiva” (1926), </w:t>
      </w:r>
      <w:r>
        <w:rPr>
          <w:u w:val="single"/>
        </w:rPr>
        <w:t>ibid</w:t>
      </w:r>
      <w:r>
        <w:t>, pp. 504-507</w:t>
      </w:r>
    </w:p>
    <w:p w:rsidR="00D7008C" w:rsidRDefault="00D7008C" w:rsidP="00D7008C">
      <w:pPr>
        <w:rPr>
          <w:b/>
        </w:rPr>
      </w:pPr>
      <w:proofErr w:type="gramStart"/>
      <w:r>
        <w:rPr>
          <w:b/>
        </w:rPr>
        <w:t>*</w:t>
      </w:r>
      <w:r>
        <w:t xml:space="preserve">”The Columbus Platform,” (1937), </w:t>
      </w:r>
      <w:r>
        <w:rPr>
          <w:u w:val="single"/>
        </w:rPr>
        <w:t>ibid</w:t>
      </w:r>
      <w:r>
        <w:t>, pp. 517-518.</w:t>
      </w:r>
      <w:proofErr w:type="gramEnd"/>
    </w:p>
    <w:p w:rsidR="00D7008C" w:rsidRDefault="00D7008C" w:rsidP="00D7008C">
      <w:pPr>
        <w:rPr>
          <w:b/>
        </w:rPr>
      </w:pPr>
    </w:p>
    <w:p w:rsidR="00D7008C" w:rsidRDefault="00D7008C" w:rsidP="00D7008C">
      <w:pPr>
        <w:rPr>
          <w:b/>
        </w:rPr>
      </w:pPr>
    </w:p>
    <w:p w:rsidR="00D7008C" w:rsidRDefault="008D424C" w:rsidP="008D424C">
      <w:pPr>
        <w:pStyle w:val="Heading3"/>
      </w:pPr>
      <w:r>
        <w:t>Week 11</w:t>
      </w:r>
      <w:r w:rsidR="00D7008C">
        <w:t xml:space="preserve"> (</w:t>
      </w:r>
      <w:r>
        <w:t>Oct. 31</w:t>
      </w:r>
      <w:r w:rsidR="009127BA">
        <w:t>-</w:t>
      </w:r>
      <w:r>
        <w:t>Nov. 4</w:t>
      </w:r>
      <w:r w:rsidR="00D7008C">
        <w:t>): American Jewry and the Holocaust</w:t>
      </w:r>
    </w:p>
    <w:p w:rsidR="00FF24A8" w:rsidRDefault="00FF24A8" w:rsidP="00FF24A8">
      <w:pPr>
        <w:rPr>
          <w:b/>
          <w:bCs/>
        </w:rPr>
      </w:pPr>
      <w:r w:rsidRPr="00FF24A8">
        <w:rPr>
          <w:b/>
          <w:bCs/>
        </w:rPr>
        <w:t>Term paper</w:t>
      </w:r>
      <w:r>
        <w:rPr>
          <w:b/>
          <w:bCs/>
        </w:rPr>
        <w:t xml:space="preserve"> is due on Monday, Oct. 31</w:t>
      </w:r>
    </w:p>
    <w:p w:rsidR="00D7008C" w:rsidRDefault="00D7008C" w:rsidP="00D7008C">
      <w:r>
        <w:t xml:space="preserve">Diner, </w:t>
      </w:r>
      <w:proofErr w:type="gramStart"/>
      <w:r>
        <w:rPr>
          <w:u w:val="single"/>
        </w:rPr>
        <w:t>The</w:t>
      </w:r>
      <w:proofErr w:type="gramEnd"/>
      <w:r>
        <w:rPr>
          <w:u w:val="single"/>
        </w:rPr>
        <w:t xml:space="preserve"> Jews of the United States</w:t>
      </w:r>
      <w:r>
        <w:t>, pp. 215-222</w:t>
      </w:r>
    </w:p>
    <w:p w:rsidR="00D7008C" w:rsidRDefault="00D7008C" w:rsidP="00D7008C">
      <w:r>
        <w:rPr>
          <w:u w:val="single"/>
        </w:rPr>
        <w:t>The American Jewish Experience</w:t>
      </w:r>
      <w:r>
        <w:t xml:space="preserve">: </w:t>
      </w:r>
    </w:p>
    <w:p w:rsidR="00D7008C" w:rsidRDefault="00D7008C" w:rsidP="00D7008C">
      <w:pPr>
        <w:rPr>
          <w:u w:val="single"/>
        </w:rPr>
      </w:pPr>
      <w:proofErr w:type="gramStart"/>
      <w:r>
        <w:t>Henry L. Feingold, “Who Shall Bear Guilt for the Holocaust?</w:t>
      </w:r>
      <w:proofErr w:type="gramEnd"/>
      <w:r>
        <w:t xml:space="preserve"> The Human Dilemma”, pp. 273-292</w:t>
      </w:r>
    </w:p>
    <w:p w:rsidR="00D7008C" w:rsidRDefault="00D7008C" w:rsidP="00D7008C">
      <w:pPr>
        <w:rPr>
          <w:u w:val="single"/>
        </w:rPr>
      </w:pPr>
    </w:p>
    <w:p w:rsidR="00D7008C" w:rsidRDefault="00D7008C" w:rsidP="00D7008C">
      <w:r>
        <w:t xml:space="preserve"># Stephen H. Norwood, “Marauding Youth and the Christian Front: Antisemitic Violence in Boston and New York During World War II”, </w:t>
      </w:r>
      <w:r>
        <w:rPr>
          <w:u w:val="single"/>
        </w:rPr>
        <w:t>American Jewish History</w:t>
      </w:r>
      <w:r>
        <w:t xml:space="preserve"> 91 (2003), pp. 233-267</w:t>
      </w:r>
    </w:p>
    <w:p w:rsidR="00D7008C" w:rsidRDefault="00D7008C" w:rsidP="00D7008C"/>
    <w:p w:rsidR="00D7008C" w:rsidRDefault="00D7008C" w:rsidP="00D7008C">
      <w:pPr>
        <w:pStyle w:val="NormalWeb"/>
        <w:spacing w:before="0" w:beforeAutospacing="0" w:after="0" w:afterAutospacing="0"/>
      </w:pPr>
      <w:r>
        <w:rPr>
          <w:b/>
        </w:rPr>
        <w:t xml:space="preserve">* </w:t>
      </w:r>
      <w:r>
        <w:t>The American Jewish Conference (1943), Mendes-</w:t>
      </w:r>
      <w:proofErr w:type="spellStart"/>
      <w:r>
        <w:t>Flohr</w:t>
      </w:r>
      <w:proofErr w:type="spellEnd"/>
      <w:r>
        <w:t xml:space="preserve"> and </w:t>
      </w:r>
      <w:proofErr w:type="spellStart"/>
      <w:r>
        <w:t>Reinharz</w:t>
      </w:r>
      <w:proofErr w:type="spellEnd"/>
      <w:r>
        <w:t xml:space="preserve">, </w:t>
      </w:r>
      <w:proofErr w:type="gramStart"/>
      <w:r>
        <w:rPr>
          <w:u w:val="single"/>
        </w:rPr>
        <w:t>The</w:t>
      </w:r>
      <w:proofErr w:type="gramEnd"/>
      <w:r>
        <w:rPr>
          <w:u w:val="single"/>
        </w:rPr>
        <w:t xml:space="preserve"> Jew in the Modern World</w:t>
      </w:r>
      <w:r>
        <w:t>, pp. 519-522</w:t>
      </w:r>
    </w:p>
    <w:p w:rsidR="00D7008C" w:rsidRDefault="00D7008C" w:rsidP="00D7008C">
      <w:r>
        <w:rPr>
          <w:b/>
        </w:rPr>
        <w:t>*</w:t>
      </w:r>
      <w:r>
        <w:t xml:space="preserve">American Council for Judaism, “A Statement of Policy” (1944), </w:t>
      </w:r>
      <w:r>
        <w:rPr>
          <w:u w:val="single"/>
        </w:rPr>
        <w:t>ibid</w:t>
      </w:r>
      <w:r>
        <w:t>, pp. 523-524</w:t>
      </w:r>
    </w:p>
    <w:p w:rsidR="00D7008C" w:rsidRDefault="00D7008C" w:rsidP="00D7008C"/>
    <w:p w:rsidR="00D7008C" w:rsidRDefault="00D7008C" w:rsidP="00D7008C"/>
    <w:p w:rsidR="00D7008C" w:rsidRDefault="008D424C" w:rsidP="009127BA">
      <w:pPr>
        <w:rPr>
          <w:b/>
        </w:rPr>
      </w:pPr>
      <w:r>
        <w:rPr>
          <w:b/>
        </w:rPr>
        <w:t>Week 12</w:t>
      </w:r>
      <w:r w:rsidR="00D7008C">
        <w:rPr>
          <w:b/>
        </w:rPr>
        <w:t xml:space="preserve"> (</w:t>
      </w:r>
      <w:r>
        <w:rPr>
          <w:b/>
        </w:rPr>
        <w:t>Nov. 7-Nov. 9</w:t>
      </w:r>
      <w:r w:rsidR="00D7008C">
        <w:rPr>
          <w:b/>
        </w:rPr>
        <w:t>): The Beginning of a “Golden Era”?</w:t>
      </w:r>
    </w:p>
    <w:p w:rsidR="008D424C" w:rsidRPr="009127BA" w:rsidRDefault="008D424C" w:rsidP="008D424C">
      <w:pPr>
        <w:rPr>
          <w:b/>
          <w:bCs/>
        </w:rPr>
      </w:pPr>
      <w:r w:rsidRPr="009127BA">
        <w:rPr>
          <w:b/>
          <w:bCs/>
        </w:rPr>
        <w:t>Class is cancelled on Nov. 11 (Veterans Day)</w:t>
      </w:r>
    </w:p>
    <w:p w:rsidR="00D7008C" w:rsidRDefault="00D7008C" w:rsidP="00D7008C">
      <w:r>
        <w:t xml:space="preserve">Diner, </w:t>
      </w:r>
      <w:proofErr w:type="gramStart"/>
      <w:r>
        <w:rPr>
          <w:u w:val="single"/>
        </w:rPr>
        <w:t>The</w:t>
      </w:r>
      <w:proofErr w:type="gramEnd"/>
      <w:r>
        <w:rPr>
          <w:u w:val="single"/>
        </w:rPr>
        <w:t xml:space="preserve"> Jews of the United States</w:t>
      </w:r>
      <w:r>
        <w:t>, pp. 259-265</w:t>
      </w:r>
    </w:p>
    <w:p w:rsidR="00D7008C" w:rsidRDefault="00D7008C" w:rsidP="00D7008C">
      <w:r>
        <w:rPr>
          <w:u w:val="single"/>
        </w:rPr>
        <w:t>The American Jewish Experience</w:t>
      </w:r>
      <w:r>
        <w:t xml:space="preserve">: </w:t>
      </w:r>
    </w:p>
    <w:p w:rsidR="00D7008C" w:rsidRDefault="00D7008C" w:rsidP="00D7008C">
      <w:r>
        <w:t xml:space="preserve">Arthur Goren, “A ‘Golden Decade’ for American Jews: 1945-1955,” pp. 294-311. </w:t>
      </w:r>
    </w:p>
    <w:p w:rsidR="00D7008C" w:rsidRDefault="00D7008C" w:rsidP="00D7008C">
      <w:pPr>
        <w:pStyle w:val="NormalWeb"/>
        <w:spacing w:before="0" w:beforeAutospacing="0" w:after="0" w:afterAutospacing="0"/>
        <w:rPr>
          <w:bCs/>
        </w:rPr>
      </w:pPr>
    </w:p>
    <w:p w:rsidR="00D7008C" w:rsidRDefault="00D7008C" w:rsidP="00D7008C">
      <w:pPr>
        <w:pStyle w:val="NormalWeb"/>
        <w:spacing w:before="0" w:beforeAutospacing="0" w:after="0" w:afterAutospacing="0"/>
      </w:pPr>
      <w:r>
        <w:t xml:space="preserve">* “Jewish Unemployment Problem, Chicago” (1954), Marcus, </w:t>
      </w:r>
      <w:proofErr w:type="gramStart"/>
      <w:r>
        <w:rPr>
          <w:u w:val="single"/>
        </w:rPr>
        <w:t>The</w:t>
      </w:r>
      <w:proofErr w:type="gramEnd"/>
      <w:r>
        <w:rPr>
          <w:u w:val="single"/>
        </w:rPr>
        <w:t xml:space="preserve"> Jew in the American World</w:t>
      </w:r>
      <w:r>
        <w:t>, 411-412</w:t>
      </w:r>
    </w:p>
    <w:p w:rsidR="00D7008C" w:rsidRDefault="00D7008C" w:rsidP="00D7008C">
      <w:pPr>
        <w:pStyle w:val="NormalWeb"/>
        <w:spacing w:before="0" w:beforeAutospacing="0" w:after="0" w:afterAutospacing="0"/>
      </w:pPr>
      <w:r>
        <w:t xml:space="preserve">* Mrs. Allen I. </w:t>
      </w:r>
      <w:proofErr w:type="spellStart"/>
      <w:r>
        <w:t>Edles</w:t>
      </w:r>
      <w:proofErr w:type="spellEnd"/>
      <w:r>
        <w:t xml:space="preserve">, “The American Jewish Woman of Tomorrow” (1958), </w:t>
      </w:r>
      <w:r>
        <w:rPr>
          <w:u w:val="single"/>
        </w:rPr>
        <w:t>ibid</w:t>
      </w:r>
      <w:r>
        <w:t>, 455-456</w:t>
      </w:r>
    </w:p>
    <w:p w:rsidR="00D7008C" w:rsidRDefault="00D7008C" w:rsidP="00D7008C"/>
    <w:p w:rsidR="00D7008C" w:rsidRDefault="00D7008C" w:rsidP="00D7008C"/>
    <w:p w:rsidR="00D7008C" w:rsidRDefault="008D424C" w:rsidP="00D7008C">
      <w:pPr>
        <w:pStyle w:val="Heading3"/>
      </w:pPr>
      <w:r>
        <w:lastRenderedPageBreak/>
        <w:t>Week 13 (Nov. 14-18</w:t>
      </w:r>
      <w:r w:rsidR="00D7008C">
        <w:t>): Content and Discontent in the 1950s</w:t>
      </w:r>
    </w:p>
    <w:p w:rsidR="00D7008C" w:rsidRDefault="00D7008C" w:rsidP="00D7008C">
      <w:r>
        <w:t xml:space="preserve">Diner, </w:t>
      </w:r>
      <w:proofErr w:type="gramStart"/>
      <w:r>
        <w:rPr>
          <w:u w:val="single"/>
        </w:rPr>
        <w:t>The</w:t>
      </w:r>
      <w:proofErr w:type="gramEnd"/>
      <w:r>
        <w:rPr>
          <w:u w:val="single"/>
        </w:rPr>
        <w:t xml:space="preserve"> Jews of the United States</w:t>
      </w:r>
      <w:r>
        <w:t>, pp. 276-304</w:t>
      </w:r>
    </w:p>
    <w:p w:rsidR="00D7008C" w:rsidRDefault="00D7008C" w:rsidP="00D7008C">
      <w:r>
        <w:t xml:space="preserve">Samuel C. </w:t>
      </w:r>
      <w:proofErr w:type="spellStart"/>
      <w:r>
        <w:t>Heilman</w:t>
      </w:r>
      <w:proofErr w:type="spellEnd"/>
      <w:r>
        <w:t xml:space="preserve">, </w:t>
      </w:r>
      <w:r>
        <w:rPr>
          <w:u w:val="single"/>
        </w:rPr>
        <w:t>Portray of American Jews</w:t>
      </w:r>
      <w:r>
        <w:t>, pp. xi-46</w:t>
      </w:r>
    </w:p>
    <w:p w:rsidR="00D7008C" w:rsidRDefault="00D7008C" w:rsidP="00D7008C">
      <w:r>
        <w:rPr>
          <w:u w:val="single"/>
        </w:rPr>
        <w:t>The American Jewish Experience</w:t>
      </w:r>
      <w:r>
        <w:t xml:space="preserve">: </w:t>
      </w:r>
    </w:p>
    <w:p w:rsidR="00D7008C" w:rsidRDefault="00D7008C" w:rsidP="00D7008C">
      <w:r>
        <w:t>Deborah Dash Moore, “Jewish Migration in Postwar America: The Case of Miami and Los Angeles”, pp. 312-327</w:t>
      </w:r>
    </w:p>
    <w:p w:rsidR="00D7008C" w:rsidRDefault="00D7008C" w:rsidP="00D7008C"/>
    <w:p w:rsidR="00D7008C" w:rsidRDefault="00D7008C" w:rsidP="00D7008C">
      <w:r>
        <w:t xml:space="preserve"># Bernard Malamud, “The </w:t>
      </w:r>
      <w:proofErr w:type="spellStart"/>
      <w:r>
        <w:t>Jewbird</w:t>
      </w:r>
      <w:proofErr w:type="spellEnd"/>
      <w:r>
        <w:t>” (1963)</w:t>
      </w:r>
    </w:p>
    <w:p w:rsidR="00D7008C" w:rsidRDefault="00D7008C" w:rsidP="00D7008C">
      <w:r>
        <w:t xml:space="preserve"># Philip Roth, “Eli the Fanatic” (1959), </w:t>
      </w:r>
      <w:r>
        <w:rPr>
          <w:u w:val="single"/>
        </w:rPr>
        <w:t>Goodbye Columbus</w:t>
      </w:r>
      <w:r>
        <w:t>, pp. 180-216</w:t>
      </w:r>
    </w:p>
    <w:p w:rsidR="00D7008C" w:rsidRDefault="00D7008C" w:rsidP="00D7008C"/>
    <w:p w:rsidR="00D7008C" w:rsidRDefault="00D7008C" w:rsidP="00D7008C">
      <w:r>
        <w:t xml:space="preserve">* J. Alvin </w:t>
      </w:r>
      <w:proofErr w:type="spellStart"/>
      <w:r>
        <w:t>Kugelmass</w:t>
      </w:r>
      <w:proofErr w:type="spellEnd"/>
      <w:r>
        <w:t xml:space="preserve">, “Name-Changing – and What It Gets You”, </w:t>
      </w:r>
      <w:r>
        <w:rPr>
          <w:u w:val="single"/>
        </w:rPr>
        <w:t>Commentary</w:t>
      </w:r>
      <w:r>
        <w:t xml:space="preserve"> 14 (1952), pp. 145-150</w:t>
      </w:r>
    </w:p>
    <w:p w:rsidR="00D7008C" w:rsidRDefault="00D7008C" w:rsidP="00D7008C"/>
    <w:p w:rsidR="00D7008C" w:rsidRDefault="00D7008C" w:rsidP="00D7008C"/>
    <w:p w:rsidR="00D7008C" w:rsidRDefault="008D424C" w:rsidP="00D7008C">
      <w:pPr>
        <w:rPr>
          <w:b/>
        </w:rPr>
      </w:pPr>
      <w:r>
        <w:rPr>
          <w:b/>
        </w:rPr>
        <w:t>Week 14-15 (Nov. 21-30</w:t>
      </w:r>
      <w:r w:rsidR="00D7008C">
        <w:rPr>
          <w:b/>
        </w:rPr>
        <w:t>): In the Eye of the Storm – the 1960s</w:t>
      </w:r>
    </w:p>
    <w:p w:rsidR="008D424C" w:rsidRDefault="008D424C" w:rsidP="008D424C">
      <w:pPr>
        <w:rPr>
          <w:b/>
        </w:rPr>
      </w:pPr>
      <w:r>
        <w:rPr>
          <w:b/>
        </w:rPr>
        <w:t>Class is cancelled on Nov. 23-25 (Thanksgiving Day)</w:t>
      </w:r>
    </w:p>
    <w:p w:rsidR="00D7008C" w:rsidRDefault="00D7008C" w:rsidP="00D7008C">
      <w:proofErr w:type="spellStart"/>
      <w:r>
        <w:t>Heilman</w:t>
      </w:r>
      <w:proofErr w:type="spellEnd"/>
      <w:r>
        <w:t xml:space="preserve">, </w:t>
      </w:r>
      <w:r>
        <w:rPr>
          <w:u w:val="single"/>
        </w:rPr>
        <w:t>Portrait of American Jewry</w:t>
      </w:r>
      <w:r>
        <w:t>, pp. 47-100</w:t>
      </w:r>
    </w:p>
    <w:p w:rsidR="00D7008C" w:rsidRDefault="00D7008C" w:rsidP="00D7008C">
      <w:r>
        <w:rPr>
          <w:u w:val="single"/>
        </w:rPr>
        <w:t>The American Jewish Experience</w:t>
      </w:r>
      <w:r>
        <w:t>:</w:t>
      </w:r>
    </w:p>
    <w:p w:rsidR="00D7008C" w:rsidRDefault="00D7008C" w:rsidP="00D7008C">
      <w:r>
        <w:t>Jack Wertheimer, “The Turbulent Sixties”, pp. 330-347</w:t>
      </w:r>
    </w:p>
    <w:p w:rsidR="00D7008C" w:rsidRDefault="00D7008C" w:rsidP="00D7008C"/>
    <w:p w:rsidR="00D7008C" w:rsidRDefault="00D7008C" w:rsidP="00D7008C">
      <w:r>
        <w:t xml:space="preserve"># Deborah Dash Moore, “From David to Goliath: American Representations of Jews around the Six-Day War”, Eli </w:t>
      </w:r>
      <w:proofErr w:type="spellStart"/>
      <w:r>
        <w:t>Lederhendler</w:t>
      </w:r>
      <w:proofErr w:type="spellEnd"/>
      <w:r>
        <w:t xml:space="preserve"> (Ed.), </w:t>
      </w:r>
      <w:proofErr w:type="gramStart"/>
      <w:r>
        <w:rPr>
          <w:u w:val="single"/>
        </w:rPr>
        <w:t>The</w:t>
      </w:r>
      <w:proofErr w:type="gramEnd"/>
      <w:r>
        <w:rPr>
          <w:u w:val="single"/>
        </w:rPr>
        <w:t xml:space="preserve"> Six-Day War and World Jewry</w:t>
      </w:r>
      <w:r>
        <w:t>, pp. 69-80</w:t>
      </w:r>
    </w:p>
    <w:p w:rsidR="00D7008C" w:rsidRDefault="00D7008C" w:rsidP="00D7008C"/>
    <w:p w:rsidR="00D7008C" w:rsidRDefault="00D7008C" w:rsidP="00D7008C">
      <w:r>
        <w:t xml:space="preserve">* Albert </w:t>
      </w:r>
      <w:proofErr w:type="spellStart"/>
      <w:r>
        <w:t>Vorspan</w:t>
      </w:r>
      <w:proofErr w:type="spellEnd"/>
      <w:r>
        <w:t xml:space="preserve">, “The Freedom Rides” (1962), Michael E. </w:t>
      </w:r>
      <w:proofErr w:type="spellStart"/>
      <w:r>
        <w:t>Staub</w:t>
      </w:r>
      <w:proofErr w:type="spellEnd"/>
      <w:r>
        <w:t xml:space="preserve"> (Ed.), </w:t>
      </w:r>
      <w:proofErr w:type="gramStart"/>
      <w:r>
        <w:rPr>
          <w:u w:val="single"/>
        </w:rPr>
        <w:t>The</w:t>
      </w:r>
      <w:proofErr w:type="gramEnd"/>
      <w:r>
        <w:rPr>
          <w:u w:val="single"/>
        </w:rPr>
        <w:t xml:space="preserve"> Jewish Sixties</w:t>
      </w:r>
      <w:r>
        <w:t>, pp. 19-22</w:t>
      </w:r>
    </w:p>
    <w:p w:rsidR="00D7008C" w:rsidRDefault="00D7008C" w:rsidP="00D7008C">
      <w:r>
        <w:t xml:space="preserve">* M. Jay Rosenberg, “To Jewish Uncle Toms” (1969), </w:t>
      </w:r>
      <w:r>
        <w:rPr>
          <w:u w:val="single"/>
        </w:rPr>
        <w:t>ibid</w:t>
      </w:r>
      <w:r>
        <w:t>, pp. 232-236</w:t>
      </w:r>
    </w:p>
    <w:p w:rsidR="00D7008C" w:rsidRDefault="00D7008C" w:rsidP="00D7008C">
      <w:pPr>
        <w:pStyle w:val="NormalWeb"/>
        <w:spacing w:before="0" w:beforeAutospacing="0" w:after="0" w:afterAutospacing="0"/>
        <w:rPr>
          <w:bCs/>
        </w:rPr>
      </w:pPr>
      <w:r>
        <w:rPr>
          <w:bCs/>
        </w:rPr>
        <w:t xml:space="preserve">* Balfour </w:t>
      </w:r>
      <w:proofErr w:type="spellStart"/>
      <w:r>
        <w:rPr>
          <w:bCs/>
        </w:rPr>
        <w:t>Brickner</w:t>
      </w:r>
      <w:proofErr w:type="spellEnd"/>
      <w:r>
        <w:rPr>
          <w:bCs/>
        </w:rPr>
        <w:t xml:space="preserve">, “My Zionist Dilemmas” (1970), </w:t>
      </w:r>
      <w:r>
        <w:rPr>
          <w:bCs/>
          <w:u w:val="single"/>
        </w:rPr>
        <w:t>ibid</w:t>
      </w:r>
      <w:r>
        <w:rPr>
          <w:bCs/>
        </w:rPr>
        <w:t>, pp. 184-187</w:t>
      </w:r>
    </w:p>
    <w:p w:rsidR="00D7008C" w:rsidRDefault="00D7008C" w:rsidP="00D7008C"/>
    <w:p w:rsidR="00D7008C" w:rsidRDefault="00D7008C" w:rsidP="00D7008C"/>
    <w:p w:rsidR="00D7008C" w:rsidRDefault="008D424C" w:rsidP="009127BA">
      <w:pPr>
        <w:rPr>
          <w:b/>
        </w:rPr>
      </w:pPr>
      <w:r>
        <w:rPr>
          <w:b/>
        </w:rPr>
        <w:t>Week 16</w:t>
      </w:r>
      <w:r w:rsidR="00D7008C">
        <w:rPr>
          <w:b/>
        </w:rPr>
        <w:t xml:space="preserve"> (</w:t>
      </w:r>
      <w:r>
        <w:rPr>
          <w:b/>
        </w:rPr>
        <w:t>Dec. 2-7</w:t>
      </w:r>
      <w:r w:rsidR="00D7008C">
        <w:rPr>
          <w:b/>
        </w:rPr>
        <w:t>): The Vanishing American Jews?</w:t>
      </w:r>
    </w:p>
    <w:p w:rsidR="00D7008C" w:rsidRDefault="00D7008C" w:rsidP="00D7008C">
      <w:r>
        <w:t xml:space="preserve">Diner, </w:t>
      </w:r>
      <w:proofErr w:type="gramStart"/>
      <w:r>
        <w:rPr>
          <w:u w:val="single"/>
        </w:rPr>
        <w:t>The</w:t>
      </w:r>
      <w:proofErr w:type="gramEnd"/>
      <w:r>
        <w:rPr>
          <w:u w:val="single"/>
        </w:rPr>
        <w:t xml:space="preserve"> Jews of the United States</w:t>
      </w:r>
      <w:r>
        <w:t>, pp. 305-354</w:t>
      </w:r>
    </w:p>
    <w:p w:rsidR="00D7008C" w:rsidRDefault="00D7008C" w:rsidP="00D7008C">
      <w:proofErr w:type="spellStart"/>
      <w:r>
        <w:t>Heilman</w:t>
      </w:r>
      <w:proofErr w:type="spellEnd"/>
      <w:r>
        <w:t xml:space="preserve">, </w:t>
      </w:r>
      <w:r>
        <w:rPr>
          <w:u w:val="single"/>
        </w:rPr>
        <w:t>Portrait of American Jewry</w:t>
      </w:r>
      <w:r>
        <w:t>, pp. 101-164.</w:t>
      </w:r>
    </w:p>
    <w:p w:rsidR="00D7008C" w:rsidRDefault="00D7008C" w:rsidP="00D7008C">
      <w:r>
        <w:rPr>
          <w:u w:val="single"/>
        </w:rPr>
        <w:t>The American Jewish Experience</w:t>
      </w:r>
      <w:r>
        <w:t>:</w:t>
      </w:r>
    </w:p>
    <w:p w:rsidR="00D7008C" w:rsidRDefault="00D7008C" w:rsidP="00D7008C">
      <w:pPr>
        <w:jc w:val="both"/>
      </w:pPr>
      <w:r>
        <w:t>Arthur Hertzberg, “United States Jewry—A Look Forward,” pp. 348-355</w:t>
      </w:r>
    </w:p>
    <w:p w:rsidR="00D7008C" w:rsidRDefault="00D7008C" w:rsidP="00D7008C">
      <w:pPr>
        <w:rPr>
          <w:u w:val="single"/>
        </w:rPr>
      </w:pPr>
    </w:p>
    <w:p w:rsidR="00D7008C" w:rsidRDefault="00D7008C" w:rsidP="00D7008C">
      <w:r>
        <w:t xml:space="preserve"># Samuel G. Freedman, </w:t>
      </w:r>
      <w:r>
        <w:rPr>
          <w:u w:val="single"/>
        </w:rPr>
        <w:t>Jew vs. Jew:  The Struggle for the Soul of American Jewry</w:t>
      </w:r>
      <w:r>
        <w:t>, 284-337</w:t>
      </w:r>
    </w:p>
    <w:p w:rsidR="00D7008C" w:rsidRDefault="00D7008C" w:rsidP="00D7008C"/>
    <w:p w:rsidR="009127BA" w:rsidRDefault="009127BA" w:rsidP="00D7008C"/>
    <w:p w:rsidR="00D7008C" w:rsidRDefault="00D7008C" w:rsidP="00D7008C"/>
    <w:p w:rsidR="001353C5" w:rsidRDefault="001353C5" w:rsidP="00D7008C"/>
    <w:p w:rsidR="00D7008C" w:rsidRPr="00401863" w:rsidRDefault="009127BA" w:rsidP="009127BA">
      <w:pPr>
        <w:rPr>
          <w:b/>
          <w:sz w:val="28"/>
          <w:szCs w:val="28"/>
        </w:rPr>
      </w:pPr>
      <w:r w:rsidRPr="00401863">
        <w:rPr>
          <w:b/>
          <w:sz w:val="28"/>
          <w:szCs w:val="28"/>
        </w:rPr>
        <w:t>Final Exam: Monday, December 12</w:t>
      </w:r>
      <w:r w:rsidR="00D7008C" w:rsidRPr="00401863">
        <w:rPr>
          <w:b/>
          <w:sz w:val="28"/>
          <w:szCs w:val="28"/>
          <w:vertAlign w:val="superscript"/>
        </w:rPr>
        <w:t xml:space="preserve"> </w:t>
      </w:r>
      <w:r w:rsidR="00D7008C" w:rsidRPr="00401863">
        <w:rPr>
          <w:b/>
          <w:sz w:val="28"/>
          <w:szCs w:val="28"/>
        </w:rPr>
        <w:t xml:space="preserve">@ </w:t>
      </w:r>
      <w:r w:rsidRPr="00401863">
        <w:rPr>
          <w:b/>
          <w:sz w:val="28"/>
          <w:szCs w:val="28"/>
        </w:rPr>
        <w:t>1</w:t>
      </w:r>
      <w:r w:rsidR="00563048">
        <w:rPr>
          <w:b/>
          <w:sz w:val="28"/>
          <w:szCs w:val="28"/>
        </w:rPr>
        <w:t>0:30A</w:t>
      </w:r>
      <w:r w:rsidR="00D7008C" w:rsidRPr="00401863">
        <w:rPr>
          <w:b/>
          <w:sz w:val="28"/>
          <w:szCs w:val="28"/>
        </w:rPr>
        <w:t>M</w:t>
      </w:r>
      <w:r w:rsidR="00401863">
        <w:rPr>
          <w:b/>
          <w:sz w:val="28"/>
          <w:szCs w:val="28"/>
        </w:rPr>
        <w:t xml:space="preserve">, </w:t>
      </w:r>
      <w:r w:rsidR="00401863">
        <w:rPr>
          <w:b/>
          <w:bCs/>
          <w:sz w:val="28"/>
          <w:szCs w:val="28"/>
        </w:rPr>
        <w:t>location TBA</w:t>
      </w:r>
    </w:p>
    <w:p w:rsidR="00D7008C" w:rsidRDefault="00D7008C" w:rsidP="00D7008C">
      <w:r>
        <w:t>No early or late exams will be permitted.</w:t>
      </w:r>
    </w:p>
    <w:p w:rsidR="00D7008C" w:rsidRDefault="00D7008C" w:rsidP="00D7008C">
      <w:pPr>
        <w:rPr>
          <w:bCs/>
        </w:rPr>
      </w:pPr>
    </w:p>
    <w:p w:rsidR="00D7008C" w:rsidRDefault="00D7008C" w:rsidP="00D7008C"/>
    <w:p w:rsidR="003E2B38" w:rsidRDefault="003E2B38"/>
    <w:p w:rsidR="00D7008C" w:rsidRDefault="00D7008C"/>
    <w:sectPr w:rsidR="00D7008C" w:rsidSect="00DC17D4">
      <w:pgSz w:w="12240" w:h="15840"/>
      <w:pgMar w:top="1260" w:right="1800" w:bottom="108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8C"/>
    <w:rsid w:val="000B149B"/>
    <w:rsid w:val="001353C5"/>
    <w:rsid w:val="003502A1"/>
    <w:rsid w:val="003A1F39"/>
    <w:rsid w:val="003E2B38"/>
    <w:rsid w:val="003F07CD"/>
    <w:rsid w:val="003F558F"/>
    <w:rsid w:val="00401863"/>
    <w:rsid w:val="00520F63"/>
    <w:rsid w:val="00563048"/>
    <w:rsid w:val="005F1F88"/>
    <w:rsid w:val="00866128"/>
    <w:rsid w:val="008D424C"/>
    <w:rsid w:val="009127BA"/>
    <w:rsid w:val="009816F1"/>
    <w:rsid w:val="009B425A"/>
    <w:rsid w:val="00D7008C"/>
    <w:rsid w:val="00E054FF"/>
    <w:rsid w:val="00EF7F3E"/>
    <w:rsid w:val="00F12523"/>
    <w:rsid w:val="00FF24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8C"/>
    <w:pPr>
      <w:spacing w:after="0" w:line="240" w:lineRule="auto"/>
    </w:pPr>
    <w:rPr>
      <w:rFonts w:eastAsia="Times New Roman"/>
      <w:lang w:bidi="ar-SA"/>
    </w:rPr>
  </w:style>
  <w:style w:type="paragraph" w:styleId="Heading1">
    <w:name w:val="heading 1"/>
    <w:basedOn w:val="Normal"/>
    <w:next w:val="Normal"/>
    <w:link w:val="Heading1Char"/>
    <w:qFormat/>
    <w:rsid w:val="00D7008C"/>
    <w:pPr>
      <w:keepNext/>
      <w:jc w:val="center"/>
      <w:outlineLvl w:val="0"/>
    </w:pPr>
    <w:rPr>
      <w:b/>
      <w:bCs/>
    </w:rPr>
  </w:style>
  <w:style w:type="paragraph" w:styleId="Heading3">
    <w:name w:val="heading 3"/>
    <w:basedOn w:val="Normal"/>
    <w:next w:val="Normal"/>
    <w:link w:val="Heading3Char"/>
    <w:qFormat/>
    <w:rsid w:val="00D7008C"/>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08C"/>
    <w:rPr>
      <w:rFonts w:eastAsia="Times New Roman"/>
      <w:b/>
      <w:bCs/>
      <w:lang w:bidi="ar-SA"/>
    </w:rPr>
  </w:style>
  <w:style w:type="character" w:customStyle="1" w:styleId="Heading3Char">
    <w:name w:val="Heading 3 Char"/>
    <w:basedOn w:val="DefaultParagraphFont"/>
    <w:link w:val="Heading3"/>
    <w:rsid w:val="00D7008C"/>
    <w:rPr>
      <w:rFonts w:eastAsia="Times New Roman"/>
      <w:b/>
      <w:bCs/>
      <w:lang w:bidi="ar-SA"/>
    </w:rPr>
  </w:style>
  <w:style w:type="paragraph" w:styleId="NormalWeb">
    <w:name w:val="Normal (Web)"/>
    <w:basedOn w:val="Normal"/>
    <w:semiHidden/>
    <w:rsid w:val="00D7008C"/>
    <w:pPr>
      <w:spacing w:before="100" w:beforeAutospacing="1" w:after="100" w:afterAutospacing="1"/>
    </w:pPr>
  </w:style>
  <w:style w:type="paragraph" w:styleId="BodyText">
    <w:name w:val="Body Text"/>
    <w:basedOn w:val="Normal"/>
    <w:link w:val="BodyTextChar"/>
    <w:semiHidden/>
    <w:rsid w:val="00D7008C"/>
    <w:rPr>
      <w:rFonts w:ascii="Times" w:eastAsia="Times" w:hAnsi="Times"/>
      <w:b/>
      <w:szCs w:val="20"/>
    </w:rPr>
  </w:style>
  <w:style w:type="character" w:customStyle="1" w:styleId="BodyTextChar">
    <w:name w:val="Body Text Char"/>
    <w:basedOn w:val="DefaultParagraphFont"/>
    <w:link w:val="BodyText"/>
    <w:semiHidden/>
    <w:rsid w:val="00D7008C"/>
    <w:rPr>
      <w:rFonts w:ascii="Times" w:eastAsia="Times" w:hAnsi="Times"/>
      <w:b/>
      <w:szCs w:val="20"/>
      <w:lang w:bidi="ar-SA"/>
    </w:rPr>
  </w:style>
  <w:style w:type="paragraph" w:styleId="Title">
    <w:name w:val="Title"/>
    <w:basedOn w:val="Normal"/>
    <w:link w:val="TitleChar"/>
    <w:qFormat/>
    <w:rsid w:val="00D7008C"/>
    <w:pPr>
      <w:ind w:firstLine="720"/>
      <w:jc w:val="center"/>
    </w:pPr>
    <w:rPr>
      <w:b/>
    </w:rPr>
  </w:style>
  <w:style w:type="character" w:customStyle="1" w:styleId="TitleChar">
    <w:name w:val="Title Char"/>
    <w:basedOn w:val="DefaultParagraphFont"/>
    <w:link w:val="Title"/>
    <w:rsid w:val="00D7008C"/>
    <w:rPr>
      <w:rFonts w:eastAsia="Times New Roman"/>
      <w:b/>
      <w:lang w:bidi="ar-SA"/>
    </w:rPr>
  </w:style>
  <w:style w:type="character" w:styleId="Hyperlink">
    <w:name w:val="Hyperlink"/>
    <w:basedOn w:val="DefaultParagraphFont"/>
    <w:rsid w:val="00D700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8C"/>
    <w:pPr>
      <w:spacing w:after="0" w:line="240" w:lineRule="auto"/>
    </w:pPr>
    <w:rPr>
      <w:rFonts w:eastAsia="Times New Roman"/>
      <w:lang w:bidi="ar-SA"/>
    </w:rPr>
  </w:style>
  <w:style w:type="paragraph" w:styleId="Heading1">
    <w:name w:val="heading 1"/>
    <w:basedOn w:val="Normal"/>
    <w:next w:val="Normal"/>
    <w:link w:val="Heading1Char"/>
    <w:qFormat/>
    <w:rsid w:val="00D7008C"/>
    <w:pPr>
      <w:keepNext/>
      <w:jc w:val="center"/>
      <w:outlineLvl w:val="0"/>
    </w:pPr>
    <w:rPr>
      <w:b/>
      <w:bCs/>
    </w:rPr>
  </w:style>
  <w:style w:type="paragraph" w:styleId="Heading3">
    <w:name w:val="heading 3"/>
    <w:basedOn w:val="Normal"/>
    <w:next w:val="Normal"/>
    <w:link w:val="Heading3Char"/>
    <w:qFormat/>
    <w:rsid w:val="00D7008C"/>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08C"/>
    <w:rPr>
      <w:rFonts w:eastAsia="Times New Roman"/>
      <w:b/>
      <w:bCs/>
      <w:lang w:bidi="ar-SA"/>
    </w:rPr>
  </w:style>
  <w:style w:type="character" w:customStyle="1" w:styleId="Heading3Char">
    <w:name w:val="Heading 3 Char"/>
    <w:basedOn w:val="DefaultParagraphFont"/>
    <w:link w:val="Heading3"/>
    <w:rsid w:val="00D7008C"/>
    <w:rPr>
      <w:rFonts w:eastAsia="Times New Roman"/>
      <w:b/>
      <w:bCs/>
      <w:lang w:bidi="ar-SA"/>
    </w:rPr>
  </w:style>
  <w:style w:type="paragraph" w:styleId="NormalWeb">
    <w:name w:val="Normal (Web)"/>
    <w:basedOn w:val="Normal"/>
    <w:semiHidden/>
    <w:rsid w:val="00D7008C"/>
    <w:pPr>
      <w:spacing w:before="100" w:beforeAutospacing="1" w:after="100" w:afterAutospacing="1"/>
    </w:pPr>
  </w:style>
  <w:style w:type="paragraph" w:styleId="BodyText">
    <w:name w:val="Body Text"/>
    <w:basedOn w:val="Normal"/>
    <w:link w:val="BodyTextChar"/>
    <w:semiHidden/>
    <w:rsid w:val="00D7008C"/>
    <w:rPr>
      <w:rFonts w:ascii="Times" w:eastAsia="Times" w:hAnsi="Times"/>
      <w:b/>
      <w:szCs w:val="20"/>
    </w:rPr>
  </w:style>
  <w:style w:type="character" w:customStyle="1" w:styleId="BodyTextChar">
    <w:name w:val="Body Text Char"/>
    <w:basedOn w:val="DefaultParagraphFont"/>
    <w:link w:val="BodyText"/>
    <w:semiHidden/>
    <w:rsid w:val="00D7008C"/>
    <w:rPr>
      <w:rFonts w:ascii="Times" w:eastAsia="Times" w:hAnsi="Times"/>
      <w:b/>
      <w:szCs w:val="20"/>
      <w:lang w:bidi="ar-SA"/>
    </w:rPr>
  </w:style>
  <w:style w:type="paragraph" w:styleId="Title">
    <w:name w:val="Title"/>
    <w:basedOn w:val="Normal"/>
    <w:link w:val="TitleChar"/>
    <w:qFormat/>
    <w:rsid w:val="00D7008C"/>
    <w:pPr>
      <w:ind w:firstLine="720"/>
      <w:jc w:val="center"/>
    </w:pPr>
    <w:rPr>
      <w:b/>
    </w:rPr>
  </w:style>
  <w:style w:type="character" w:customStyle="1" w:styleId="TitleChar">
    <w:name w:val="Title Char"/>
    <w:basedOn w:val="DefaultParagraphFont"/>
    <w:link w:val="Title"/>
    <w:rsid w:val="00D7008C"/>
    <w:rPr>
      <w:rFonts w:eastAsia="Times New Roman"/>
      <w:b/>
      <w:lang w:bidi="ar-SA"/>
    </w:rPr>
  </w:style>
  <w:style w:type="character" w:styleId="Hyperlink">
    <w:name w:val="Hyperlink"/>
    <w:basedOn w:val="DefaultParagraphFont"/>
    <w:rsid w:val="00D70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brary.arizona.edu/help/tutorials/plagiarism/index.html" TargetMode="External"/><Relationship Id="rId5" Type="http://schemas.openxmlformats.org/officeDocument/2006/relationships/hyperlink" Target="http://deanofstudents.arizona.edu/codeofacademicinteg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Gil</cp:lastModifiedBy>
  <cp:revision>21</cp:revision>
  <dcterms:created xsi:type="dcterms:W3CDTF">2011-08-11T22:06:00Z</dcterms:created>
  <dcterms:modified xsi:type="dcterms:W3CDTF">2011-08-16T22:21:00Z</dcterms:modified>
</cp:coreProperties>
</file>