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4F7" w:rsidRDefault="00EE24F7" w:rsidP="00EE24F7">
      <w:pPr>
        <w:pStyle w:val="Title"/>
      </w:pPr>
      <w:r>
        <w:t>Modern Jewish History/JUS 370a-002</w:t>
      </w:r>
    </w:p>
    <w:p w:rsidR="00EE24F7" w:rsidRDefault="00EE24F7" w:rsidP="00EE24F7">
      <w:pPr>
        <w:pStyle w:val="Title"/>
      </w:pPr>
    </w:p>
    <w:p w:rsidR="00EE24F7" w:rsidRPr="002F0992" w:rsidRDefault="00EE24F7" w:rsidP="00EE24F7">
      <w:pPr>
        <w:pStyle w:val="Title"/>
        <w:rPr>
          <w:sz w:val="32"/>
          <w:szCs w:val="32"/>
        </w:rPr>
      </w:pPr>
      <w:r w:rsidRPr="002F0992">
        <w:rPr>
          <w:sz w:val="32"/>
          <w:szCs w:val="32"/>
        </w:rPr>
        <w:t>The Emergence of Modern Jewish Politics, 1848-1948</w:t>
      </w:r>
    </w:p>
    <w:p w:rsidR="00EE24F7" w:rsidRDefault="00EE24F7" w:rsidP="00EE24F7">
      <w:pPr>
        <w:ind w:firstLine="720"/>
        <w:jc w:val="center"/>
      </w:pPr>
    </w:p>
    <w:p w:rsidR="00EE24F7" w:rsidRDefault="00EE24F7" w:rsidP="00EE24F7">
      <w:pPr>
        <w:ind w:firstLine="720"/>
        <w:jc w:val="center"/>
      </w:pPr>
      <w:r>
        <w:t>The University of Arizona/Fall 2011</w:t>
      </w:r>
    </w:p>
    <w:p w:rsidR="00EE24F7" w:rsidRDefault="00EE24F7" w:rsidP="00EE24F7">
      <w:pPr>
        <w:ind w:firstLine="720"/>
        <w:jc w:val="center"/>
      </w:pPr>
    </w:p>
    <w:p w:rsidR="00EE24F7" w:rsidRDefault="00EE24F7" w:rsidP="00EE24F7">
      <w:pPr>
        <w:ind w:firstLine="720"/>
        <w:jc w:val="center"/>
      </w:pPr>
      <w:r>
        <w:t>Mondays and Wednesdays, 4:00-5:15PM,</w:t>
      </w:r>
      <w:r w:rsidR="00143BE0">
        <w:t xml:space="preserve"> Psychology Building,</w:t>
      </w:r>
    </w:p>
    <w:p w:rsidR="00EE24F7" w:rsidRDefault="00EE24F7" w:rsidP="00EE24F7">
      <w:pPr>
        <w:ind w:firstLine="720"/>
        <w:jc w:val="center"/>
      </w:pPr>
      <w:r>
        <w:t>Room</w:t>
      </w:r>
      <w:r w:rsidR="00143BE0">
        <w:t xml:space="preserve"> 306</w:t>
      </w:r>
    </w:p>
    <w:p w:rsidR="00EE24F7" w:rsidRDefault="00EE24F7" w:rsidP="00EE24F7">
      <w:pPr>
        <w:ind w:firstLine="720"/>
        <w:jc w:val="center"/>
      </w:pPr>
    </w:p>
    <w:p w:rsidR="00EE24F7" w:rsidRDefault="00EE24F7" w:rsidP="00EE24F7">
      <w:pPr>
        <w:ind w:firstLine="720"/>
        <w:jc w:val="center"/>
      </w:pPr>
      <w:r>
        <w:t xml:space="preserve">Gil </w:t>
      </w:r>
      <w:proofErr w:type="spellStart"/>
      <w:r>
        <w:t>Ribak</w:t>
      </w:r>
      <w:proofErr w:type="spellEnd"/>
    </w:p>
    <w:p w:rsidR="00EE24F7" w:rsidRPr="000136F6" w:rsidRDefault="00EE24F7" w:rsidP="00EE24F7">
      <w:pPr>
        <w:tabs>
          <w:tab w:val="left" w:pos="720"/>
        </w:tabs>
        <w:ind w:left="720" w:hanging="720"/>
        <w:jc w:val="center"/>
        <w:rPr>
          <w:rFonts w:ascii="Times" w:hAnsi="Times"/>
        </w:rPr>
      </w:pPr>
      <w:r>
        <w:rPr>
          <w:rFonts w:ascii="Times" w:hAnsi="Times"/>
        </w:rPr>
        <w:t>Office Phone: 626-5785</w:t>
      </w:r>
    </w:p>
    <w:p w:rsidR="00EE24F7" w:rsidRPr="000136F6" w:rsidRDefault="00EE24F7" w:rsidP="00EE24F7">
      <w:pPr>
        <w:tabs>
          <w:tab w:val="left" w:pos="720"/>
        </w:tabs>
        <w:ind w:left="720" w:hanging="720"/>
        <w:jc w:val="center"/>
        <w:rPr>
          <w:rFonts w:ascii="Times" w:hAnsi="Times"/>
        </w:rPr>
      </w:pPr>
      <w:r w:rsidRPr="000136F6">
        <w:rPr>
          <w:rFonts w:ascii="Times" w:hAnsi="Times"/>
        </w:rPr>
        <w:t>E</w:t>
      </w:r>
      <w:r>
        <w:rPr>
          <w:rFonts w:ascii="Times" w:hAnsi="Times"/>
        </w:rPr>
        <w:t>mail: gribak@email.arizona.edu</w:t>
      </w:r>
    </w:p>
    <w:p w:rsidR="00EE24F7" w:rsidRPr="000136F6" w:rsidRDefault="00EE24F7" w:rsidP="00EE24F7">
      <w:pPr>
        <w:tabs>
          <w:tab w:val="left" w:pos="720"/>
        </w:tabs>
        <w:ind w:left="720" w:hanging="720"/>
        <w:jc w:val="center"/>
        <w:rPr>
          <w:rFonts w:ascii="Times" w:hAnsi="Times"/>
        </w:rPr>
      </w:pPr>
      <w:r w:rsidRPr="000136F6">
        <w:rPr>
          <w:rFonts w:ascii="Times" w:hAnsi="Times"/>
        </w:rPr>
        <w:t>Judaic Studies Office: Marshall Building, Suite 420</w:t>
      </w:r>
    </w:p>
    <w:p w:rsidR="00EE24F7" w:rsidRPr="000136F6" w:rsidRDefault="00EE24F7" w:rsidP="00EE24F7">
      <w:pPr>
        <w:tabs>
          <w:tab w:val="left" w:pos="720"/>
        </w:tabs>
        <w:ind w:left="720" w:hanging="720"/>
        <w:jc w:val="center"/>
        <w:rPr>
          <w:rFonts w:ascii="Times" w:hAnsi="Times"/>
        </w:rPr>
      </w:pPr>
      <w:r>
        <w:rPr>
          <w:rFonts w:ascii="Times" w:hAnsi="Times"/>
        </w:rPr>
        <w:t>Office Hours: Mondays and Wednesdays 2:30-3:30PM, or</w:t>
      </w:r>
      <w:r w:rsidRPr="000136F6">
        <w:rPr>
          <w:rFonts w:ascii="Times" w:hAnsi="Times"/>
        </w:rPr>
        <w:t xml:space="preserve"> by appointment</w:t>
      </w:r>
    </w:p>
    <w:p w:rsidR="00EE24F7" w:rsidRDefault="00EE24F7" w:rsidP="00EE24F7">
      <w:pPr>
        <w:pStyle w:val="Title"/>
        <w:rPr>
          <w:u w:val="single"/>
        </w:rPr>
      </w:pPr>
    </w:p>
    <w:p w:rsidR="00EE24F7" w:rsidRDefault="00EE24F7" w:rsidP="00EE24F7"/>
    <w:p w:rsidR="00EE24F7" w:rsidRDefault="00EE24F7" w:rsidP="00EE24F7">
      <w:pPr>
        <w:rPr>
          <w:b/>
          <w:bCs/>
          <w:u w:val="single"/>
        </w:rPr>
      </w:pPr>
      <w:r>
        <w:rPr>
          <w:b/>
          <w:bCs/>
          <w:u w:val="single"/>
        </w:rPr>
        <w:t>Course Description:</w:t>
      </w:r>
    </w:p>
    <w:p w:rsidR="00EE24F7" w:rsidRDefault="00EE24F7" w:rsidP="00EE24F7">
      <w:pPr>
        <w:spacing w:line="360" w:lineRule="auto"/>
        <w:ind w:firstLine="720"/>
      </w:pPr>
      <w:r>
        <w:t>An old joke has it that every three Jews have (at least) four different views. Students will come to appreciate the kernel of truth in that joke during the semester, as we will examine the multifaceted spectrum of ideologies, movements, parties, and individuals that constituted the emerging Jewish politics during their formative years. Focusing primarily on three centers – Eastern Europe, the U.S., and the Land of Israel – we will look at how those different movements sought to solve what was called “The Jewish Question”. We will look at how the various forces on the Jewish street sought to settle that question, where did they think Jews should live, what language(s) should Jews speak, with which political and cultural movements in the Gentile world did they empathize, and what political tactics did they favor.</w:t>
      </w:r>
    </w:p>
    <w:p w:rsidR="00EE24F7" w:rsidRDefault="00EE24F7" w:rsidP="00EE24F7">
      <w:pPr>
        <w:spacing w:line="360" w:lineRule="auto"/>
        <w:ind w:firstLine="720"/>
      </w:pPr>
      <w:r>
        <w:t>Moreover, the questions and situations faced by Jewish ideologies and political movements were often, quite literally, a matter of life or death: among other topics, our discussion would turn to patterns of collaboration and resistance under Nazi rule, or the fierce internal Zionist debates about the use of force in the increasing Jewish-Arab conflict in the Land of Israel. Those crucial dilemmas generated profound intra-Jewish controversies and divisions, some of which have continued to this very day.</w:t>
      </w:r>
    </w:p>
    <w:p w:rsidR="00EE24F7" w:rsidRDefault="00EE24F7" w:rsidP="00EE24F7">
      <w:pPr>
        <w:spacing w:line="360" w:lineRule="auto"/>
      </w:pPr>
    </w:p>
    <w:p w:rsidR="00EE24F7" w:rsidRDefault="00EE24F7" w:rsidP="00EE24F7">
      <w:pPr>
        <w:spacing w:line="360" w:lineRule="auto"/>
      </w:pPr>
    </w:p>
    <w:p w:rsidR="00EE24F7" w:rsidRDefault="00EE24F7" w:rsidP="00EE24F7">
      <w:pPr>
        <w:spacing w:line="360" w:lineRule="auto"/>
      </w:pPr>
    </w:p>
    <w:p w:rsidR="00EE24F7" w:rsidRDefault="00EE24F7" w:rsidP="00EE24F7">
      <w:pPr>
        <w:spacing w:line="360" w:lineRule="auto"/>
      </w:pPr>
    </w:p>
    <w:p w:rsidR="00EE24F7" w:rsidRDefault="00EE24F7" w:rsidP="00EE24F7">
      <w:pPr>
        <w:jc w:val="both"/>
        <w:rPr>
          <w:b/>
          <w:bCs/>
          <w:sz w:val="28"/>
          <w:szCs w:val="28"/>
        </w:rPr>
      </w:pPr>
      <w:r>
        <w:rPr>
          <w:b/>
          <w:bCs/>
          <w:sz w:val="28"/>
          <w:szCs w:val="28"/>
        </w:rPr>
        <w:t>Course Format, Requirements, and Attendance Policy</w:t>
      </w:r>
    </w:p>
    <w:p w:rsidR="00EE24F7" w:rsidRDefault="00EE24F7" w:rsidP="00444CD7">
      <w:pPr>
        <w:spacing w:line="160" w:lineRule="atLeast"/>
      </w:pPr>
      <w:r w:rsidRPr="000136F6">
        <w:t>This course uses a lecture format. You are expected to co</w:t>
      </w:r>
      <w:r w:rsidR="00687416">
        <w:t xml:space="preserve">mplete the required readings </w:t>
      </w:r>
      <w:r w:rsidR="00D90534">
        <w:t xml:space="preserve">on </w:t>
      </w:r>
      <w:r w:rsidR="00444CD7">
        <w:t>the first meeting of the week</w:t>
      </w:r>
      <w:r w:rsidR="00687416">
        <w:t>.</w:t>
      </w:r>
    </w:p>
    <w:p w:rsidR="00EE24F7" w:rsidRDefault="00EE24F7" w:rsidP="00EE24F7">
      <w:pPr>
        <w:spacing w:line="360" w:lineRule="auto"/>
      </w:pPr>
    </w:p>
    <w:p w:rsidR="00FE6C24" w:rsidRDefault="00FE6C24" w:rsidP="00DA69FF">
      <w:pPr>
        <w:spacing w:line="160" w:lineRule="atLeast"/>
        <w:rPr>
          <w:rFonts w:asciiTheme="majorBidi" w:hAnsiTheme="majorBidi" w:cstheme="majorBidi"/>
        </w:rPr>
      </w:pPr>
      <w:r>
        <w:rPr>
          <w:b/>
          <w:bCs/>
        </w:rPr>
        <w:t xml:space="preserve">1. </w:t>
      </w:r>
      <w:r w:rsidR="00EE24F7" w:rsidRPr="00330D70">
        <w:rPr>
          <w:b/>
          <w:bCs/>
        </w:rPr>
        <w:t>Attendance</w:t>
      </w:r>
      <w:r w:rsidR="00EE24F7">
        <w:t xml:space="preserve">: Attendance in class is required and </w:t>
      </w:r>
      <w:r w:rsidR="00D90534">
        <w:t>I will take attendance each time</w:t>
      </w:r>
      <w:r w:rsidR="00EE24F7">
        <w:t xml:space="preserve">. </w:t>
      </w:r>
      <w:r>
        <w:t>Any student who misses THREE</w:t>
      </w:r>
      <w:r w:rsidR="00EE24F7">
        <w:t xml:space="preserve"> or more meetings during the </w:t>
      </w:r>
      <w:r>
        <w:t>semester will get</w:t>
      </w:r>
      <w:r w:rsidR="00EE24F7">
        <w:t xml:space="preserve"> an “</w:t>
      </w:r>
      <w:r>
        <w:t>E” grade for attendance</w:t>
      </w:r>
      <w:r w:rsidR="00EE24F7">
        <w:t xml:space="preserve">. </w:t>
      </w:r>
      <w:r>
        <w:rPr>
          <w:rFonts w:asciiTheme="majorBidi" w:hAnsiTheme="majorBidi" w:cstheme="majorBidi"/>
        </w:rPr>
        <w:t xml:space="preserve">Any student who misses </w:t>
      </w:r>
      <w:r w:rsidRPr="00255B3F">
        <w:rPr>
          <w:rFonts w:asciiTheme="majorBidi" w:hAnsiTheme="majorBidi" w:cstheme="majorBidi"/>
          <w:b/>
          <w:bCs/>
        </w:rPr>
        <w:t>25% or more</w:t>
      </w:r>
      <w:r>
        <w:rPr>
          <w:rFonts w:asciiTheme="majorBidi" w:hAnsiTheme="majorBidi" w:cstheme="majorBidi"/>
        </w:rPr>
        <w:t xml:space="preserve"> of the course’s total number of lectures will FAIL the class. </w:t>
      </w:r>
      <w:r w:rsidRPr="006C19CE">
        <w:rPr>
          <w:rFonts w:asciiTheme="majorBidi" w:hAnsiTheme="majorBidi" w:cstheme="majorBidi"/>
        </w:rPr>
        <w:t xml:space="preserve">If extenuating circumstances such as illness force a student to miss one or more classes, the student remains responsible for the material covered during her/his absence. A physician’s note is required in such a case. </w:t>
      </w:r>
      <w:r w:rsidRPr="001A70C5">
        <w:rPr>
          <w:rFonts w:asciiTheme="majorBidi" w:hAnsiTheme="majorBidi" w:cstheme="majorBidi"/>
          <w:b/>
          <w:bCs/>
        </w:rPr>
        <w:t>Tardiness</w:t>
      </w:r>
      <w:r w:rsidRPr="006C19CE">
        <w:rPr>
          <w:rFonts w:asciiTheme="majorBidi" w:hAnsiTheme="majorBidi" w:cstheme="majorBidi"/>
        </w:rPr>
        <w:t xml:space="preserve"> is disruptive to the class and unacceptable. I</w:t>
      </w:r>
      <w:r w:rsidR="00687416">
        <w:rPr>
          <w:rFonts w:asciiTheme="majorBidi" w:hAnsiTheme="majorBidi" w:cstheme="majorBidi"/>
        </w:rPr>
        <w:t>f a student is tardy (</w:t>
      </w:r>
      <w:r w:rsidR="009F7502">
        <w:rPr>
          <w:rFonts w:asciiTheme="majorBidi" w:hAnsiTheme="majorBidi" w:cstheme="majorBidi"/>
        </w:rPr>
        <w:t xml:space="preserve">arriving </w:t>
      </w:r>
      <w:r w:rsidR="00DA69FF">
        <w:rPr>
          <w:rFonts w:asciiTheme="majorBidi" w:hAnsiTheme="majorBidi" w:cstheme="majorBidi"/>
        </w:rPr>
        <w:t>more than TWO</w:t>
      </w:r>
      <w:r w:rsidR="00687416">
        <w:rPr>
          <w:rFonts w:asciiTheme="majorBidi" w:hAnsiTheme="majorBidi" w:cstheme="majorBidi"/>
        </w:rPr>
        <w:t xml:space="preserve"> minutes</w:t>
      </w:r>
      <w:r w:rsidR="009F7502">
        <w:rPr>
          <w:rFonts w:asciiTheme="majorBidi" w:hAnsiTheme="majorBidi" w:cstheme="majorBidi"/>
        </w:rPr>
        <w:t xml:space="preserve"> after the beginning of class</w:t>
      </w:r>
      <w:r w:rsidR="00687416">
        <w:rPr>
          <w:rFonts w:asciiTheme="majorBidi" w:hAnsiTheme="majorBidi" w:cstheme="majorBidi"/>
        </w:rPr>
        <w:t>) TWICE</w:t>
      </w:r>
      <w:r w:rsidRPr="006C19CE">
        <w:rPr>
          <w:rFonts w:asciiTheme="majorBidi" w:hAnsiTheme="majorBidi" w:cstheme="majorBidi"/>
        </w:rPr>
        <w:t>, it will constitute one unexcused absence.</w:t>
      </w:r>
      <w:r w:rsidR="00DB7C2A">
        <w:rPr>
          <w:rFonts w:asciiTheme="majorBidi" w:hAnsiTheme="majorBidi" w:cstheme="majorBidi"/>
        </w:rPr>
        <w:t xml:space="preserve"> The same goes for leaving class before it ends.</w:t>
      </w:r>
    </w:p>
    <w:p w:rsidR="00FE6C24" w:rsidRDefault="00FE6C24" w:rsidP="00FE6C24">
      <w:pPr>
        <w:spacing w:line="160" w:lineRule="atLeast"/>
        <w:rPr>
          <w:b/>
          <w:bCs/>
        </w:rPr>
      </w:pPr>
    </w:p>
    <w:p w:rsidR="00EE24F7" w:rsidRDefault="00FE6C24" w:rsidP="00687416">
      <w:pPr>
        <w:spacing w:line="160" w:lineRule="atLeast"/>
      </w:pPr>
      <w:r>
        <w:rPr>
          <w:b/>
          <w:bCs/>
        </w:rPr>
        <w:t xml:space="preserve">2. </w:t>
      </w:r>
      <w:r w:rsidR="00EE24F7" w:rsidRPr="00FE6C24">
        <w:rPr>
          <w:b/>
          <w:bCs/>
        </w:rPr>
        <w:t>Preparation</w:t>
      </w:r>
      <w:r w:rsidR="00EE24F7">
        <w:t>: I cannot overemphasize the importance of your reading assignments. A failure to read the assig</w:t>
      </w:r>
      <w:r w:rsidR="0099365C">
        <w:t>ned materials will</w:t>
      </w:r>
      <w:r w:rsidR="00687416">
        <w:t xml:space="preserve"> affect not only your quizzes</w:t>
      </w:r>
      <w:r w:rsidR="00EE24F7">
        <w:t xml:space="preserve"> grades, but also your ability to dea</w:t>
      </w:r>
      <w:r w:rsidR="00687416">
        <w:t>l with the written assignments.</w:t>
      </w:r>
    </w:p>
    <w:p w:rsidR="00EE24F7" w:rsidRDefault="00EE24F7" w:rsidP="00EE24F7"/>
    <w:p w:rsidR="00FE6C24" w:rsidRDefault="00FE6C24" w:rsidP="00EE24F7">
      <w:pPr>
        <w:rPr>
          <w:b/>
        </w:rPr>
      </w:pPr>
    </w:p>
    <w:p w:rsidR="00EE24F7" w:rsidRPr="00330D70" w:rsidRDefault="00EE24F7" w:rsidP="00EE24F7">
      <w:pPr>
        <w:rPr>
          <w:b/>
        </w:rPr>
      </w:pPr>
      <w:r w:rsidRPr="00330D70">
        <w:rPr>
          <w:b/>
        </w:rPr>
        <w:t>Final Grade Breakdown:</w:t>
      </w:r>
    </w:p>
    <w:p w:rsidR="00FE6C24" w:rsidRPr="006C19CE" w:rsidRDefault="00FE6C24" w:rsidP="00FE6C24">
      <w:pPr>
        <w:spacing w:line="160" w:lineRule="atLeast"/>
        <w:rPr>
          <w:rFonts w:asciiTheme="majorBidi" w:hAnsiTheme="majorBidi" w:cstheme="majorBidi"/>
        </w:rPr>
      </w:pPr>
      <w:r w:rsidRPr="006C19CE">
        <w:rPr>
          <w:rFonts w:asciiTheme="majorBidi" w:hAnsiTheme="majorBidi" w:cstheme="majorBidi"/>
        </w:rPr>
        <w:t>Attendance – 10%</w:t>
      </w:r>
    </w:p>
    <w:p w:rsidR="00FE6C24" w:rsidRPr="006C19CE" w:rsidRDefault="00FE6C24" w:rsidP="00FE6C24">
      <w:pPr>
        <w:spacing w:line="160" w:lineRule="atLeast"/>
        <w:rPr>
          <w:rFonts w:asciiTheme="majorBidi" w:hAnsiTheme="majorBidi" w:cstheme="majorBidi"/>
        </w:rPr>
      </w:pPr>
      <w:r w:rsidRPr="006C19CE">
        <w:rPr>
          <w:rFonts w:asciiTheme="majorBidi" w:hAnsiTheme="majorBidi" w:cstheme="majorBidi"/>
        </w:rPr>
        <w:t>Two pop quizzes (at least) – 15% (combined)</w:t>
      </w:r>
    </w:p>
    <w:p w:rsidR="00FE6C24" w:rsidRPr="006C19CE" w:rsidRDefault="00FE6C24" w:rsidP="00FE6C24">
      <w:pPr>
        <w:spacing w:line="160" w:lineRule="atLeast"/>
        <w:rPr>
          <w:rFonts w:asciiTheme="majorBidi" w:hAnsiTheme="majorBidi" w:cstheme="majorBidi"/>
        </w:rPr>
      </w:pPr>
      <w:bookmarkStart w:id="0" w:name="_GoBack"/>
      <w:bookmarkEnd w:id="0"/>
      <w:r w:rsidRPr="006C19CE">
        <w:rPr>
          <w:rFonts w:asciiTheme="majorBidi" w:hAnsiTheme="majorBidi" w:cstheme="majorBidi"/>
        </w:rPr>
        <w:t>M</w:t>
      </w:r>
      <w:r w:rsidR="0027214D">
        <w:rPr>
          <w:rFonts w:asciiTheme="majorBidi" w:hAnsiTheme="majorBidi" w:cstheme="majorBidi"/>
        </w:rPr>
        <w:t>idterm exam –</w:t>
      </w:r>
      <w:r w:rsidRPr="006C19CE">
        <w:rPr>
          <w:rFonts w:asciiTheme="majorBidi" w:hAnsiTheme="majorBidi" w:cstheme="majorBidi"/>
        </w:rPr>
        <w:t xml:space="preserve"> 25%</w:t>
      </w:r>
    </w:p>
    <w:p w:rsidR="00FE6C24" w:rsidRPr="006C19CE" w:rsidRDefault="00FE6C24" w:rsidP="00FE6C24">
      <w:pPr>
        <w:spacing w:line="160" w:lineRule="atLeast"/>
        <w:rPr>
          <w:rFonts w:asciiTheme="majorBidi" w:hAnsiTheme="majorBidi" w:cstheme="majorBidi"/>
        </w:rPr>
      </w:pPr>
      <w:r w:rsidRPr="006C19CE">
        <w:rPr>
          <w:rFonts w:asciiTheme="majorBidi" w:hAnsiTheme="majorBidi" w:cstheme="majorBidi"/>
        </w:rPr>
        <w:t xml:space="preserve">Term paper – 20% </w:t>
      </w:r>
    </w:p>
    <w:p w:rsidR="00FE6C24" w:rsidRPr="006C19CE" w:rsidRDefault="0027214D" w:rsidP="00FE6C24">
      <w:pPr>
        <w:spacing w:line="160" w:lineRule="atLeast"/>
        <w:rPr>
          <w:rFonts w:asciiTheme="majorBidi" w:hAnsiTheme="majorBidi" w:cstheme="majorBidi"/>
        </w:rPr>
      </w:pPr>
      <w:proofErr w:type="gramStart"/>
      <w:r>
        <w:rPr>
          <w:rFonts w:asciiTheme="majorBidi" w:hAnsiTheme="majorBidi" w:cstheme="majorBidi"/>
        </w:rPr>
        <w:t>Final exam –</w:t>
      </w:r>
      <w:r w:rsidR="00FE6C24" w:rsidRPr="006C19CE">
        <w:rPr>
          <w:rFonts w:asciiTheme="majorBidi" w:hAnsiTheme="majorBidi" w:cstheme="majorBidi"/>
        </w:rPr>
        <w:t xml:space="preserve"> 30%.</w:t>
      </w:r>
      <w:proofErr w:type="gramEnd"/>
    </w:p>
    <w:p w:rsidR="00FE6C24" w:rsidRDefault="00FE6C24" w:rsidP="00EE24F7"/>
    <w:p w:rsidR="00EE24F7" w:rsidRDefault="00EE24F7" w:rsidP="00EE24F7">
      <w:r>
        <w:t>Please note: late papers will lose 10 points for every day late.</w:t>
      </w:r>
    </w:p>
    <w:p w:rsidR="00EE24F7" w:rsidRDefault="00EE24F7" w:rsidP="00EE24F7"/>
    <w:p w:rsidR="00EE24F7" w:rsidRDefault="00EE24F7" w:rsidP="00EE24F7"/>
    <w:p w:rsidR="00EE24F7" w:rsidRDefault="00EE24F7" w:rsidP="00EE24F7">
      <w:pPr>
        <w:tabs>
          <w:tab w:val="left" w:leader="dot" w:pos="5760"/>
        </w:tabs>
        <w:ind w:left="2160"/>
        <w:jc w:val="both"/>
        <w:rPr>
          <w:rFonts w:ascii="Times" w:hAnsi="Times"/>
        </w:rPr>
      </w:pPr>
      <w:r>
        <w:rPr>
          <w:rFonts w:ascii="Times" w:hAnsi="Times"/>
        </w:rPr>
        <w:t>92% and above</w:t>
      </w:r>
      <w:r>
        <w:rPr>
          <w:rFonts w:ascii="Times" w:hAnsi="Times"/>
        </w:rPr>
        <w:tab/>
        <w:t>A</w:t>
      </w:r>
    </w:p>
    <w:p w:rsidR="00EE24F7" w:rsidRDefault="00EE24F7" w:rsidP="00EE24F7">
      <w:pPr>
        <w:tabs>
          <w:tab w:val="left" w:leader="dot" w:pos="5760"/>
        </w:tabs>
        <w:ind w:left="2160"/>
        <w:jc w:val="both"/>
        <w:rPr>
          <w:rFonts w:ascii="Times" w:hAnsi="Times"/>
        </w:rPr>
      </w:pPr>
      <w:r>
        <w:rPr>
          <w:rFonts w:ascii="Times" w:hAnsi="Times"/>
        </w:rPr>
        <w:t>82-91.99%</w:t>
      </w:r>
      <w:r>
        <w:rPr>
          <w:rFonts w:ascii="Times" w:hAnsi="Times"/>
        </w:rPr>
        <w:tab/>
        <w:t>B</w:t>
      </w:r>
    </w:p>
    <w:p w:rsidR="00EE24F7" w:rsidRDefault="00EE24F7" w:rsidP="00EE24F7">
      <w:pPr>
        <w:tabs>
          <w:tab w:val="left" w:leader="dot" w:pos="5760"/>
        </w:tabs>
        <w:ind w:left="2160"/>
        <w:jc w:val="both"/>
        <w:rPr>
          <w:rFonts w:ascii="Times" w:hAnsi="Times"/>
        </w:rPr>
      </w:pPr>
      <w:r>
        <w:rPr>
          <w:rFonts w:ascii="Times" w:hAnsi="Times"/>
        </w:rPr>
        <w:t>72-81.99%</w:t>
      </w:r>
      <w:r>
        <w:rPr>
          <w:rFonts w:ascii="Times" w:hAnsi="Times"/>
        </w:rPr>
        <w:tab/>
        <w:t>C</w:t>
      </w:r>
    </w:p>
    <w:p w:rsidR="00EE24F7" w:rsidRDefault="00EE24F7" w:rsidP="00EE24F7">
      <w:pPr>
        <w:tabs>
          <w:tab w:val="left" w:leader="dot" w:pos="5760"/>
        </w:tabs>
        <w:ind w:left="2160"/>
        <w:jc w:val="both"/>
        <w:rPr>
          <w:rFonts w:ascii="Times" w:hAnsi="Times"/>
        </w:rPr>
      </w:pPr>
      <w:r>
        <w:rPr>
          <w:rFonts w:ascii="Times" w:hAnsi="Times"/>
        </w:rPr>
        <w:t>61-71.99%</w:t>
      </w:r>
      <w:r>
        <w:rPr>
          <w:rFonts w:ascii="Times" w:hAnsi="Times"/>
        </w:rPr>
        <w:tab/>
        <w:t>D</w:t>
      </w:r>
    </w:p>
    <w:p w:rsidR="00EE24F7" w:rsidRDefault="00EE24F7" w:rsidP="00EE24F7">
      <w:pPr>
        <w:tabs>
          <w:tab w:val="left" w:leader="dot" w:pos="5760"/>
        </w:tabs>
        <w:ind w:left="2160"/>
        <w:jc w:val="both"/>
        <w:rPr>
          <w:rFonts w:ascii="Times" w:hAnsi="Times"/>
        </w:rPr>
      </w:pPr>
      <w:r>
        <w:rPr>
          <w:rFonts w:ascii="Times" w:hAnsi="Times"/>
        </w:rPr>
        <w:t>Below 61%</w:t>
      </w:r>
      <w:r>
        <w:rPr>
          <w:rFonts w:ascii="Times" w:hAnsi="Times"/>
        </w:rPr>
        <w:tab/>
        <w:t>E</w:t>
      </w:r>
    </w:p>
    <w:p w:rsidR="00EE24F7" w:rsidRDefault="00EE24F7" w:rsidP="00EE24F7"/>
    <w:p w:rsidR="00EE24F7" w:rsidRDefault="00EE24F7" w:rsidP="00EE24F7"/>
    <w:p w:rsidR="00EE24F7" w:rsidRDefault="00EE24F7" w:rsidP="00EE24F7">
      <w:pPr>
        <w:rPr>
          <w:b/>
          <w:sz w:val="28"/>
          <w:szCs w:val="28"/>
        </w:rPr>
      </w:pPr>
    </w:p>
    <w:p w:rsidR="00EE24F7" w:rsidRDefault="00EE24F7" w:rsidP="00EE24F7">
      <w:pPr>
        <w:rPr>
          <w:b/>
          <w:sz w:val="28"/>
          <w:szCs w:val="28"/>
        </w:rPr>
      </w:pPr>
    </w:p>
    <w:p w:rsidR="00EE24F7" w:rsidRPr="00557A74" w:rsidRDefault="00EE24F7" w:rsidP="00EE24F7">
      <w:pPr>
        <w:rPr>
          <w:b/>
          <w:sz w:val="28"/>
          <w:szCs w:val="28"/>
        </w:rPr>
      </w:pPr>
      <w:r w:rsidRPr="00557A74">
        <w:rPr>
          <w:b/>
          <w:sz w:val="28"/>
          <w:szCs w:val="28"/>
        </w:rPr>
        <w:t>Standards of Student Conduct</w:t>
      </w:r>
    </w:p>
    <w:p w:rsidR="00FE6C24" w:rsidRPr="006C19CE" w:rsidRDefault="00FE6C24" w:rsidP="00FE6C24">
      <w:pPr>
        <w:spacing w:line="160" w:lineRule="atLeast"/>
        <w:rPr>
          <w:rFonts w:asciiTheme="majorBidi" w:hAnsiTheme="majorBidi" w:cstheme="majorBidi"/>
        </w:rPr>
      </w:pPr>
      <w:r w:rsidRPr="006C19CE">
        <w:rPr>
          <w:rFonts w:asciiTheme="majorBidi" w:hAnsiTheme="majorBidi" w:cstheme="majorBidi"/>
        </w:rPr>
        <w:t>The use of computers in class is STRICTLY FORBIDDEN. The ONLY exception would be students who can provide a formal authorization from the Disability Resources Center (DRC). The use of texting, cell phones and pagers is also strictly forbidden. Students violating these rules will be asked to leave the class for the day, and will have an absence recorded for that date.</w:t>
      </w:r>
    </w:p>
    <w:p w:rsidR="00FE6C24" w:rsidRDefault="00FE6C24" w:rsidP="00EE24F7">
      <w:pPr>
        <w:tabs>
          <w:tab w:val="left" w:pos="810"/>
          <w:tab w:val="right" w:pos="9868"/>
        </w:tabs>
      </w:pPr>
    </w:p>
    <w:p w:rsidR="00EE24F7" w:rsidRPr="00E473F2" w:rsidRDefault="00EE24F7" w:rsidP="00EE24F7">
      <w:pPr>
        <w:tabs>
          <w:tab w:val="left" w:pos="810"/>
          <w:tab w:val="right" w:pos="9868"/>
        </w:tabs>
      </w:pPr>
      <w:r w:rsidRPr="00E473F2">
        <w:t xml:space="preserve">Plagiarism and other forms academic misconduct are strictly forbidden according to the Student Code of Academic Integrity. </w:t>
      </w:r>
      <w:r>
        <w:t xml:space="preserve">Students </w:t>
      </w:r>
      <w:r w:rsidRPr="00E473F2">
        <w:t>may not plagiarize or represent the work of others as their own, nor modify academic work</w:t>
      </w:r>
      <w:r>
        <w:t>.</w:t>
      </w:r>
      <w:r w:rsidRPr="00E473F2">
        <w:t xml:space="preserve"> Plagiarism is defined as using the ideas and words of others without indicating whose ideas and wh</w:t>
      </w:r>
      <w:r>
        <w:t>ose words they are.</w:t>
      </w:r>
      <w:r w:rsidRPr="00E473F2">
        <w:t xml:space="preserve"> Do not plagiarize, even inadvertently.  If you quote as few as three words, use quotation marks and provide the reference.  If you use someone’s ideas but not their actual words, provide the reference but do not use quotation marks.</w:t>
      </w:r>
      <w:r>
        <w:t xml:space="preserve"> </w:t>
      </w:r>
      <w:proofErr w:type="gramStart"/>
      <w:r>
        <w:t xml:space="preserve">For the UA Code on Academic integrity see: </w:t>
      </w:r>
      <w:hyperlink r:id="rId8" w:history="1">
        <w:r w:rsidRPr="00E473F2">
          <w:rPr>
            <w:rStyle w:val="Hyperlink"/>
          </w:rPr>
          <w:t>http://deanofstudents.arizona.edu/codeofacademicintegrity</w:t>
        </w:r>
      </w:hyperlink>
      <w:r>
        <w:t>.</w:t>
      </w:r>
      <w:proofErr w:type="gramEnd"/>
      <w:r>
        <w:t xml:space="preserve"> For further information on how to avoid plagiarism see </w:t>
      </w:r>
      <w:hyperlink r:id="rId9" w:history="1">
        <w:r w:rsidRPr="00E473F2">
          <w:rPr>
            <w:rStyle w:val="Hyperlink"/>
          </w:rPr>
          <w:t>http://www.library.arizona.edu/help/tutorials/plagiarism/index.html</w:t>
        </w:r>
      </w:hyperlink>
    </w:p>
    <w:p w:rsidR="00EE24F7" w:rsidRDefault="00EE24F7" w:rsidP="00EE24F7">
      <w:pPr>
        <w:rPr>
          <w:rFonts w:ascii="Times" w:hAnsi="Times"/>
        </w:rPr>
      </w:pPr>
    </w:p>
    <w:p w:rsidR="00EE24F7" w:rsidRPr="000136F6" w:rsidRDefault="00EE24F7" w:rsidP="00EE24F7">
      <w:pPr>
        <w:rPr>
          <w:rFonts w:ascii="Times" w:hAnsi="Times"/>
        </w:rPr>
      </w:pPr>
      <w:r w:rsidRPr="000136F6">
        <w:rPr>
          <w:rFonts w:ascii="Times" w:hAnsi="Times"/>
        </w:rPr>
        <w:t>Behavior that could be considered threatening is str</w:t>
      </w:r>
      <w:r>
        <w:rPr>
          <w:rFonts w:ascii="Times" w:hAnsi="Times"/>
        </w:rPr>
        <w:t>ictly forbidden according to U</w:t>
      </w:r>
      <w:r w:rsidRPr="000136F6">
        <w:rPr>
          <w:rFonts w:ascii="Times" w:hAnsi="Times"/>
        </w:rPr>
        <w:t xml:space="preserve">A policy (see policy.web.arizona.edu/~policy/threaten.shtml). </w:t>
      </w:r>
    </w:p>
    <w:p w:rsidR="00EE24F7" w:rsidRPr="000136F6" w:rsidRDefault="00EE24F7" w:rsidP="00EE24F7">
      <w:pPr>
        <w:rPr>
          <w:rFonts w:ascii="Times" w:hAnsi="Times"/>
        </w:rPr>
      </w:pPr>
    </w:p>
    <w:p w:rsidR="00EE24F7" w:rsidRPr="00B97279" w:rsidRDefault="00EE24F7" w:rsidP="00EE24F7">
      <w:pPr>
        <w:rPr>
          <w:rFonts w:ascii="Times" w:hAnsi="Times"/>
          <w:color w:val="000000"/>
        </w:rPr>
      </w:pPr>
      <w:r w:rsidRPr="000136F6">
        <w:rPr>
          <w:rFonts w:ascii="Times" w:hAnsi="Times"/>
          <w:szCs w:val="32"/>
        </w:rPr>
        <w:t xml:space="preserve">In keeping with University policy this professor will provide reasonable accommodation of any student’s religious beliefs with regard to the scheduling of examinations and other academic requirements for this course. Please consult with the professor at least two weeks in advance of any such scheduling issues. </w:t>
      </w:r>
    </w:p>
    <w:p w:rsidR="00EE24F7" w:rsidRDefault="00EE24F7" w:rsidP="00EE24F7"/>
    <w:p w:rsidR="00EE24F7" w:rsidRPr="000136F6" w:rsidRDefault="00EE24F7" w:rsidP="00EE24F7">
      <w:pPr>
        <w:rPr>
          <w:rFonts w:ascii="Times" w:hAnsi="Times"/>
          <w:color w:val="000000"/>
        </w:rPr>
      </w:pPr>
      <w:r w:rsidRPr="000136F6">
        <w:rPr>
          <w:rFonts w:ascii="Times" w:hAnsi="Times"/>
          <w:color w:val="000000"/>
        </w:rPr>
        <w:t>The information contained in the course syllabus, other than the grading policy, may be subject to change with reasonable advance notice as deemed appropriate by the professor.</w:t>
      </w:r>
    </w:p>
    <w:p w:rsidR="00EE24F7" w:rsidRDefault="00EE24F7" w:rsidP="00EE24F7"/>
    <w:p w:rsidR="00EE24F7" w:rsidRDefault="00EE24F7" w:rsidP="00EE24F7"/>
    <w:p w:rsidR="00EE24F7" w:rsidRPr="00D951AA" w:rsidRDefault="00EE24F7" w:rsidP="00EE24F7">
      <w:pPr>
        <w:rPr>
          <w:b/>
          <w:sz w:val="28"/>
          <w:szCs w:val="28"/>
          <w:u w:val="single"/>
        </w:rPr>
      </w:pPr>
      <w:r w:rsidRPr="00D951AA">
        <w:rPr>
          <w:b/>
          <w:sz w:val="28"/>
          <w:szCs w:val="28"/>
          <w:u w:val="single"/>
        </w:rPr>
        <w:t>Required Books</w:t>
      </w:r>
    </w:p>
    <w:p w:rsidR="00EE24F7" w:rsidRDefault="00EE24F7" w:rsidP="00EE24F7">
      <w:r>
        <w:t xml:space="preserve">Arthur Hertzberg (ed.), </w:t>
      </w:r>
      <w:proofErr w:type="gramStart"/>
      <w:r w:rsidRPr="00A53AF4">
        <w:rPr>
          <w:u w:val="single"/>
        </w:rPr>
        <w:t>The</w:t>
      </w:r>
      <w:proofErr w:type="gramEnd"/>
      <w:r w:rsidRPr="00A53AF4">
        <w:rPr>
          <w:u w:val="single"/>
        </w:rPr>
        <w:t xml:space="preserve"> Zionist Idea: A Historical Analysis and Reader</w:t>
      </w:r>
    </w:p>
    <w:p w:rsidR="00EE24F7" w:rsidRDefault="00EE24F7" w:rsidP="00EE24F7">
      <w:r>
        <w:t xml:space="preserve">Ezra Mendelsohn, </w:t>
      </w:r>
      <w:r w:rsidRPr="00A53AF4">
        <w:rPr>
          <w:u w:val="single"/>
        </w:rPr>
        <w:t>On Modern Jewish Politics</w:t>
      </w:r>
    </w:p>
    <w:p w:rsidR="00EE24F7" w:rsidRDefault="00EE24F7" w:rsidP="00EE24F7">
      <w:r>
        <w:t xml:space="preserve">Anita </w:t>
      </w:r>
      <w:proofErr w:type="spellStart"/>
      <w:r>
        <w:t>Shapira</w:t>
      </w:r>
      <w:proofErr w:type="spellEnd"/>
      <w:r>
        <w:t xml:space="preserve">, </w:t>
      </w:r>
      <w:r w:rsidRPr="00A53AF4">
        <w:rPr>
          <w:u w:val="single"/>
        </w:rPr>
        <w:t>Land and Power: The Zionist Resort to Force, 1881-1948</w:t>
      </w:r>
    </w:p>
    <w:p w:rsidR="00EE24F7" w:rsidRDefault="00EE24F7" w:rsidP="00EE24F7"/>
    <w:p w:rsidR="00EE24F7" w:rsidRDefault="00EE24F7" w:rsidP="00EE24F7">
      <w:r>
        <w:t>All the assigned books are available for purchase at the campus bookstore. There is also a copy of each book at the Center for Judaic Studies that you can read there (but not borrow). The other readings are available online via D2L.</w:t>
      </w:r>
    </w:p>
    <w:p w:rsidR="00EE24F7" w:rsidRDefault="00EE24F7" w:rsidP="00EE24F7"/>
    <w:p w:rsidR="00EE24F7" w:rsidRDefault="00EE24F7" w:rsidP="00EE24F7"/>
    <w:p w:rsidR="00EE24F7" w:rsidRDefault="00EE24F7" w:rsidP="00EE24F7">
      <w:r>
        <w:t># Primary sources (online)</w:t>
      </w:r>
    </w:p>
    <w:p w:rsidR="00EE24F7" w:rsidRDefault="00EE24F7" w:rsidP="00EE24F7">
      <w:r>
        <w:t>* Secondary sources (online)</w:t>
      </w:r>
    </w:p>
    <w:p w:rsidR="00EE24F7" w:rsidRDefault="00EE24F7" w:rsidP="00EE24F7"/>
    <w:p w:rsidR="00EE24F7" w:rsidRDefault="00373134" w:rsidP="00EE24F7">
      <w:pPr>
        <w:rPr>
          <w:b/>
          <w:bCs/>
        </w:rPr>
      </w:pPr>
      <w:r>
        <w:rPr>
          <w:b/>
          <w:bCs/>
        </w:rPr>
        <w:t>Week 1 (Aug. 22-24</w:t>
      </w:r>
      <w:r w:rsidR="00EE24F7">
        <w:rPr>
          <w:b/>
          <w:bCs/>
        </w:rPr>
        <w:t>): Introduction – What are “Jewish Politics”?</w:t>
      </w:r>
    </w:p>
    <w:p w:rsidR="00EE24F7" w:rsidRDefault="00EE24F7" w:rsidP="00EE24F7">
      <w:proofErr w:type="gramStart"/>
      <w:r>
        <w:t xml:space="preserve">Mendelsohn, </w:t>
      </w:r>
      <w:r>
        <w:rPr>
          <w:u w:val="single"/>
        </w:rPr>
        <w:t>On Modern Jewish Politics</w:t>
      </w:r>
      <w:r>
        <w:t>, vii-ix, 3-36.</w:t>
      </w:r>
      <w:proofErr w:type="gramEnd"/>
    </w:p>
    <w:p w:rsidR="00EE24F7" w:rsidRDefault="00EE24F7" w:rsidP="00EE24F7"/>
    <w:p w:rsidR="00EE24F7" w:rsidRDefault="00EE24F7" w:rsidP="00EE24F7">
      <w:r>
        <w:t xml:space="preserve">* Daniel J. </w:t>
      </w:r>
      <w:proofErr w:type="spellStart"/>
      <w:r>
        <w:t>Elazar</w:t>
      </w:r>
      <w:proofErr w:type="spellEnd"/>
      <w:r>
        <w:t xml:space="preserve">, “Introduction: The </w:t>
      </w:r>
      <w:proofErr w:type="spellStart"/>
      <w:r>
        <w:rPr>
          <w:i/>
          <w:iCs/>
        </w:rPr>
        <w:t>Edah</w:t>
      </w:r>
      <w:proofErr w:type="spellEnd"/>
      <w:r>
        <w:t xml:space="preserve"> as a </w:t>
      </w:r>
      <w:smartTag w:uri="urn:schemas-microsoft-com:office:smarttags" w:element="place">
        <w:smartTag w:uri="urn:schemas-microsoft-com:office:smarttags" w:element="PlaceName">
          <w:r>
            <w:t>Classic</w:t>
          </w:r>
        </w:smartTag>
        <w:r>
          <w:t xml:space="preserve"> </w:t>
        </w:r>
        <w:smartTag w:uri="urn:schemas-microsoft-com:office:smarttags" w:element="PlaceType">
          <w:r>
            <w:t>Republic</w:t>
          </w:r>
        </w:smartTag>
      </w:smartTag>
      <w:r>
        <w:t xml:space="preserve">”, in Daniel J. </w:t>
      </w:r>
      <w:proofErr w:type="spellStart"/>
      <w:r>
        <w:t>Elazar</w:t>
      </w:r>
      <w:proofErr w:type="spellEnd"/>
      <w:r>
        <w:t xml:space="preserve"> (ed.), </w:t>
      </w:r>
      <w:r>
        <w:rPr>
          <w:u w:val="single"/>
        </w:rPr>
        <w:t>Kinship and Consent: The Jewish Political Tradition and Its Contemporary Uses</w:t>
      </w:r>
      <w:r>
        <w:t>, 3-8.</w:t>
      </w:r>
    </w:p>
    <w:p w:rsidR="00EE24F7" w:rsidRDefault="00EE24F7" w:rsidP="00EE24F7">
      <w:r>
        <w:t>* “East European Jewry”, “The American Experience”, and “Zionism”, in Paul Mendes-</w:t>
      </w:r>
      <w:proofErr w:type="spellStart"/>
      <w:r>
        <w:t>Flohr</w:t>
      </w:r>
      <w:proofErr w:type="spellEnd"/>
      <w:r>
        <w:t xml:space="preserve"> and </w:t>
      </w:r>
      <w:proofErr w:type="spellStart"/>
      <w:r>
        <w:t>Jehuda</w:t>
      </w:r>
      <w:proofErr w:type="spellEnd"/>
      <w:r>
        <w:t xml:space="preserve"> </w:t>
      </w:r>
      <w:proofErr w:type="spellStart"/>
      <w:r>
        <w:t>Reinharz</w:t>
      </w:r>
      <w:proofErr w:type="spellEnd"/>
      <w:r>
        <w:t xml:space="preserve"> (eds.), </w:t>
      </w:r>
      <w:r>
        <w:rPr>
          <w:u w:val="single"/>
        </w:rPr>
        <w:t>The Jew in the Modern World</w:t>
      </w:r>
      <w:r>
        <w:t>, 372-374, 449-451, 529-531.</w:t>
      </w:r>
    </w:p>
    <w:p w:rsidR="00EE24F7" w:rsidRDefault="00EE24F7" w:rsidP="00EE24F7"/>
    <w:p w:rsidR="00EE24F7" w:rsidRDefault="00EE24F7" w:rsidP="00EE24F7"/>
    <w:p w:rsidR="00EE24F7" w:rsidRDefault="00E33F9E" w:rsidP="00EE24F7">
      <w:pPr>
        <w:pStyle w:val="Heading1"/>
      </w:pPr>
      <w:r>
        <w:t>Week 2 (Aug. 29-31</w:t>
      </w:r>
      <w:r w:rsidR="00EE24F7">
        <w:t>): The Old Jewish Politics and the Precursors of Jewish Nationalism</w:t>
      </w:r>
    </w:p>
    <w:p w:rsidR="00EE24F7" w:rsidRDefault="00EE24F7" w:rsidP="00EE24F7">
      <w:r>
        <w:t xml:space="preserve">Rabbi </w:t>
      </w:r>
      <w:proofErr w:type="spellStart"/>
      <w:r>
        <w:t>Zvi</w:t>
      </w:r>
      <w:proofErr w:type="spellEnd"/>
      <w:r>
        <w:t xml:space="preserve"> Hirsch </w:t>
      </w:r>
      <w:proofErr w:type="spellStart"/>
      <w:r>
        <w:t>Kalischer</w:t>
      </w:r>
      <w:proofErr w:type="spellEnd"/>
      <w:r>
        <w:t xml:space="preserve">, “Seeking Zion” (1862), Hertzberg, </w:t>
      </w:r>
      <w:r>
        <w:rPr>
          <w:u w:val="single"/>
        </w:rPr>
        <w:t>The Zionist Idea</w:t>
      </w:r>
      <w:r w:rsidR="00735DC9">
        <w:t>, 109-114</w:t>
      </w:r>
      <w:r>
        <w:t>.</w:t>
      </w:r>
    </w:p>
    <w:p w:rsidR="00EE24F7" w:rsidRDefault="00EE24F7" w:rsidP="00EE24F7">
      <w:r>
        <w:t xml:space="preserve">Moses Hess, “Rome and Jerusalem” (1862), </w:t>
      </w:r>
      <w:r w:rsidR="00152D09">
        <w:t xml:space="preserve">Hertzberg, </w:t>
      </w:r>
      <w:proofErr w:type="gramStart"/>
      <w:r w:rsidR="00152D09">
        <w:rPr>
          <w:u w:val="single"/>
        </w:rPr>
        <w:t>The</w:t>
      </w:r>
      <w:proofErr w:type="gramEnd"/>
      <w:r w:rsidR="00152D09">
        <w:rPr>
          <w:u w:val="single"/>
        </w:rPr>
        <w:t xml:space="preserve"> Zionist Idea</w:t>
      </w:r>
      <w:r>
        <w:t>, 116-123, 132-134.</w:t>
      </w:r>
    </w:p>
    <w:p w:rsidR="00EE24F7" w:rsidRDefault="00EE24F7" w:rsidP="00EE24F7">
      <w:proofErr w:type="spellStart"/>
      <w:r>
        <w:t>Peretz</w:t>
      </w:r>
      <w:proofErr w:type="spellEnd"/>
      <w:r>
        <w:t xml:space="preserve"> </w:t>
      </w:r>
      <w:proofErr w:type="spellStart"/>
      <w:r>
        <w:t>Smolenskin</w:t>
      </w:r>
      <w:proofErr w:type="spellEnd"/>
      <w:r>
        <w:t xml:space="preserve">, “It Is Time to Plant”, </w:t>
      </w:r>
      <w:r w:rsidR="00152D09">
        <w:t xml:space="preserve">Hertzberg, </w:t>
      </w:r>
      <w:proofErr w:type="gramStart"/>
      <w:r w:rsidR="00152D09">
        <w:rPr>
          <w:u w:val="single"/>
        </w:rPr>
        <w:t>The</w:t>
      </w:r>
      <w:proofErr w:type="gramEnd"/>
      <w:r w:rsidR="00152D09">
        <w:rPr>
          <w:u w:val="single"/>
        </w:rPr>
        <w:t xml:space="preserve"> Zionist Idea</w:t>
      </w:r>
      <w:r>
        <w:t>,</w:t>
      </w:r>
      <w:r w:rsidR="000601B3">
        <w:t xml:space="preserve"> 143-147</w:t>
      </w:r>
      <w:r>
        <w:t>.</w:t>
      </w:r>
    </w:p>
    <w:p w:rsidR="00EE24F7" w:rsidRDefault="00EE24F7" w:rsidP="00EE24F7"/>
    <w:p w:rsidR="00EE24F7" w:rsidRDefault="00EE24F7" w:rsidP="00EE24F7">
      <w:r>
        <w:t># “</w:t>
      </w:r>
      <w:smartTag w:uri="urn:schemas-microsoft-com:office:smarttags" w:element="City">
        <w:r>
          <w:t>Philadelphia</w:t>
        </w:r>
      </w:smartTag>
      <w:r>
        <w:t xml:space="preserve"> Jewry Protests against Persecution of Jews in </w:t>
      </w:r>
      <w:smartTag w:uri="urn:schemas-microsoft-com:office:smarttags" w:element="City">
        <w:smartTag w:uri="urn:schemas-microsoft-com:office:smarttags" w:element="place">
          <w:r>
            <w:t>Damascus</w:t>
          </w:r>
        </w:smartTag>
      </w:smartTag>
      <w:r>
        <w:t xml:space="preserve">” (1840), Jacob R. Marcus (ed.), </w:t>
      </w:r>
      <w:proofErr w:type="gramStart"/>
      <w:r>
        <w:rPr>
          <w:u w:val="single"/>
        </w:rPr>
        <w:t>The</w:t>
      </w:r>
      <w:proofErr w:type="gramEnd"/>
      <w:r>
        <w:rPr>
          <w:u w:val="single"/>
        </w:rPr>
        <w:t xml:space="preserve"> Jew in the American World</w:t>
      </w:r>
      <w:r>
        <w:t>, 185-187.</w:t>
      </w:r>
    </w:p>
    <w:p w:rsidR="00EE24F7" w:rsidRDefault="00EE24F7" w:rsidP="00152D09">
      <w:r>
        <w:t xml:space="preserve"># “San Francisco Jewry Appeals to the U.S. Senate to Denounce the Abduction of Edgar </w:t>
      </w:r>
      <w:proofErr w:type="spellStart"/>
      <w:r>
        <w:t>Mortara</w:t>
      </w:r>
      <w:proofErr w:type="spellEnd"/>
      <w:r>
        <w:t xml:space="preserve">” (1859), </w:t>
      </w:r>
      <w:r w:rsidR="00152D09">
        <w:t xml:space="preserve">Marcus (ed.), </w:t>
      </w:r>
      <w:proofErr w:type="gramStart"/>
      <w:r w:rsidR="00152D09">
        <w:rPr>
          <w:u w:val="single"/>
        </w:rPr>
        <w:t>The</w:t>
      </w:r>
      <w:proofErr w:type="gramEnd"/>
      <w:r w:rsidR="00152D09">
        <w:rPr>
          <w:u w:val="single"/>
        </w:rPr>
        <w:t xml:space="preserve"> Jew in the American World</w:t>
      </w:r>
      <w:r>
        <w:t>, 288-290.</w:t>
      </w:r>
    </w:p>
    <w:p w:rsidR="00EE24F7" w:rsidRDefault="00EE24F7" w:rsidP="00EE24F7"/>
    <w:p w:rsidR="00EE24F7" w:rsidRDefault="00EE24F7" w:rsidP="00EE24F7">
      <w:r>
        <w:t xml:space="preserve">* Jacob Katz, </w:t>
      </w:r>
      <w:r>
        <w:rPr>
          <w:u w:val="single"/>
        </w:rPr>
        <w:t>Out of the Ghetto</w:t>
      </w:r>
      <w:r>
        <w:t>, 191-219.</w:t>
      </w:r>
    </w:p>
    <w:p w:rsidR="00EE24F7" w:rsidRDefault="00EE24F7" w:rsidP="00EE24F7">
      <w:r>
        <w:t xml:space="preserve">* Jonathan Frankel, “Introduction: Crisis as a Factor in Nineteenth-Century Jewish History”, </w:t>
      </w:r>
      <w:proofErr w:type="gramStart"/>
      <w:r>
        <w:rPr>
          <w:u w:val="single"/>
        </w:rPr>
        <w:t>The</w:t>
      </w:r>
      <w:proofErr w:type="gramEnd"/>
      <w:r>
        <w:rPr>
          <w:u w:val="single"/>
        </w:rPr>
        <w:t xml:space="preserve"> </w:t>
      </w:r>
      <w:smartTag w:uri="urn:schemas-microsoft-com:office:smarttags" w:element="City">
        <w:smartTag w:uri="urn:schemas-microsoft-com:office:smarttags" w:element="place">
          <w:r>
            <w:rPr>
              <w:u w:val="single"/>
            </w:rPr>
            <w:t>Damascus</w:t>
          </w:r>
        </w:smartTag>
      </w:smartTag>
      <w:r>
        <w:rPr>
          <w:u w:val="single"/>
        </w:rPr>
        <w:t xml:space="preserve"> Affair: “Ritual Murder”, Politics, and the Jews in 1840</w:t>
      </w:r>
      <w:r>
        <w:t>, 1-16.</w:t>
      </w:r>
    </w:p>
    <w:p w:rsidR="00EE24F7" w:rsidRDefault="00EE24F7" w:rsidP="00EE24F7"/>
    <w:p w:rsidR="00EE24F7" w:rsidRDefault="00EE24F7" w:rsidP="00EE24F7"/>
    <w:p w:rsidR="00EE24F7" w:rsidRDefault="0052048E" w:rsidP="00EE24F7">
      <w:pPr>
        <w:pStyle w:val="Heading1"/>
      </w:pPr>
      <w:r>
        <w:t>Week 3 (Sep. 7</w:t>
      </w:r>
      <w:r w:rsidR="00EE24F7">
        <w:t>): 1881 – The Big Bang?</w:t>
      </w:r>
    </w:p>
    <w:p w:rsidR="0052048E" w:rsidRPr="00D84F14" w:rsidRDefault="0052048E" w:rsidP="0052048E">
      <w:pPr>
        <w:rPr>
          <w:b/>
        </w:rPr>
      </w:pPr>
      <w:r w:rsidRPr="00D84F14">
        <w:rPr>
          <w:b/>
        </w:rPr>
        <w:t>Class is cancelled</w:t>
      </w:r>
      <w:r>
        <w:rPr>
          <w:b/>
        </w:rPr>
        <w:t xml:space="preserve"> on Sep. 5</w:t>
      </w:r>
      <w:r w:rsidRPr="00D84F14">
        <w:rPr>
          <w:b/>
        </w:rPr>
        <w:t>, 2010 – Labor Day</w:t>
      </w:r>
    </w:p>
    <w:p w:rsidR="00EE24F7" w:rsidRDefault="00EE24F7" w:rsidP="00EE24F7">
      <w:r>
        <w:t xml:space="preserve">Excerpts by Moshe </w:t>
      </w:r>
      <w:proofErr w:type="spellStart"/>
      <w:r>
        <w:t>Leib</w:t>
      </w:r>
      <w:proofErr w:type="spellEnd"/>
      <w:r>
        <w:t xml:space="preserve"> </w:t>
      </w:r>
      <w:proofErr w:type="spellStart"/>
      <w:r>
        <w:t>Lilienblum</w:t>
      </w:r>
      <w:proofErr w:type="spellEnd"/>
      <w:r>
        <w:t xml:space="preserve"> and Leo </w:t>
      </w:r>
      <w:proofErr w:type="spellStart"/>
      <w:r>
        <w:t>Pinsker</w:t>
      </w:r>
      <w:proofErr w:type="spellEnd"/>
      <w:r>
        <w:t xml:space="preserve">, Hertzberg (ed.), </w:t>
      </w:r>
      <w:proofErr w:type="gramStart"/>
      <w:r>
        <w:rPr>
          <w:u w:val="single"/>
        </w:rPr>
        <w:t>The</w:t>
      </w:r>
      <w:proofErr w:type="gramEnd"/>
      <w:r>
        <w:rPr>
          <w:u w:val="single"/>
        </w:rPr>
        <w:t xml:space="preserve"> Zionist Idea</w:t>
      </w:r>
      <w:r>
        <w:t>, 166-198.</w:t>
      </w:r>
    </w:p>
    <w:p w:rsidR="00EE24F7" w:rsidRDefault="00EE24F7" w:rsidP="00EE24F7"/>
    <w:p w:rsidR="00EE24F7" w:rsidRDefault="00EE24F7" w:rsidP="00EE24F7">
      <w:proofErr w:type="gramStart"/>
      <w:r>
        <w:t xml:space="preserve"># Judah </w:t>
      </w:r>
      <w:proofErr w:type="spellStart"/>
      <w:r>
        <w:t>Leib</w:t>
      </w:r>
      <w:proofErr w:type="spellEnd"/>
      <w:r>
        <w:t xml:space="preserve"> Levin, “To America or to the Land of Israel?”</w:t>
      </w:r>
      <w:proofErr w:type="gramEnd"/>
      <w:r>
        <w:t xml:space="preserve"> (1881), the “Am </w:t>
      </w:r>
      <w:proofErr w:type="spellStart"/>
      <w:r>
        <w:t>Olam</w:t>
      </w:r>
      <w:proofErr w:type="spellEnd"/>
      <w:r>
        <w:t>” Movement (1883), and BILU, “Manifesto” (1882), Mendes-</w:t>
      </w:r>
      <w:proofErr w:type="spellStart"/>
      <w:r>
        <w:t>Flohr</w:t>
      </w:r>
      <w:proofErr w:type="spellEnd"/>
      <w:r>
        <w:t xml:space="preserve"> and </w:t>
      </w:r>
      <w:proofErr w:type="spellStart"/>
      <w:r>
        <w:t>Reinharz</w:t>
      </w:r>
      <w:proofErr w:type="spellEnd"/>
      <w:r>
        <w:t xml:space="preserve"> (eds.), </w:t>
      </w:r>
      <w:proofErr w:type="gramStart"/>
      <w:r>
        <w:rPr>
          <w:u w:val="single"/>
        </w:rPr>
        <w:t>The</w:t>
      </w:r>
      <w:proofErr w:type="gramEnd"/>
      <w:r>
        <w:rPr>
          <w:u w:val="single"/>
        </w:rPr>
        <w:t xml:space="preserve"> Jew in the Modern World</w:t>
      </w:r>
      <w:r>
        <w:t>, 413-414, 477-478, 532-533.</w:t>
      </w:r>
    </w:p>
    <w:p w:rsidR="00EE24F7" w:rsidRDefault="00EE24F7" w:rsidP="00EE24F7">
      <w:r>
        <w:t xml:space="preserve"># </w:t>
      </w:r>
      <w:proofErr w:type="spellStart"/>
      <w:r>
        <w:t>Pavel</w:t>
      </w:r>
      <w:proofErr w:type="spellEnd"/>
      <w:r>
        <w:t xml:space="preserve"> B. Axelrod, “Socialist Jews Confront the Pogroms”, Lucy S. </w:t>
      </w:r>
      <w:proofErr w:type="spellStart"/>
      <w:r>
        <w:t>Dawidowicz</w:t>
      </w:r>
      <w:proofErr w:type="spellEnd"/>
      <w:r>
        <w:t xml:space="preserve"> (ed.), </w:t>
      </w:r>
      <w:proofErr w:type="gramStart"/>
      <w:r>
        <w:rPr>
          <w:u w:val="single"/>
        </w:rPr>
        <w:t>The</w:t>
      </w:r>
      <w:proofErr w:type="gramEnd"/>
      <w:r>
        <w:rPr>
          <w:u w:val="single"/>
        </w:rPr>
        <w:t xml:space="preserve"> Golden Tradition: Jewish Life and Thought in </w:t>
      </w:r>
      <w:smartTag w:uri="urn:schemas-microsoft-com:office:smarttags" w:element="place">
        <w:r>
          <w:rPr>
            <w:u w:val="single"/>
          </w:rPr>
          <w:t>Eastern Europe</w:t>
        </w:r>
      </w:smartTag>
      <w:r>
        <w:t>, 405-410.</w:t>
      </w:r>
    </w:p>
    <w:p w:rsidR="00EE24F7" w:rsidRDefault="00EE24F7" w:rsidP="00EE24F7"/>
    <w:p w:rsidR="00EE24F7" w:rsidRPr="00B80891" w:rsidRDefault="00EE24F7" w:rsidP="00EE24F7">
      <w:r>
        <w:t xml:space="preserve">Mendelsohn, </w:t>
      </w:r>
      <w:r w:rsidRPr="00A53AF4">
        <w:rPr>
          <w:u w:val="single"/>
        </w:rPr>
        <w:t>On Modern Jewish Politics</w:t>
      </w:r>
      <w:r>
        <w:t>, 37-62.</w:t>
      </w:r>
    </w:p>
    <w:p w:rsidR="00EE24F7" w:rsidRDefault="00EE24F7" w:rsidP="00EE24F7"/>
    <w:p w:rsidR="00EE24F7" w:rsidRDefault="00EE24F7" w:rsidP="00EE24F7">
      <w:r>
        <w:t xml:space="preserve">* Jonathan Frankel, “The Crisis of 1881-1882 as a Turning Point in Modern Jewish History”, David Berger (ed.), </w:t>
      </w:r>
      <w:proofErr w:type="gramStart"/>
      <w:r>
        <w:rPr>
          <w:u w:val="single"/>
        </w:rPr>
        <w:t>The</w:t>
      </w:r>
      <w:proofErr w:type="gramEnd"/>
      <w:r>
        <w:rPr>
          <w:u w:val="single"/>
        </w:rPr>
        <w:t xml:space="preserve"> Legacy of Jewish Migration: 1881 and Its Impact</w:t>
      </w:r>
      <w:r>
        <w:t>, 9-22.</w:t>
      </w:r>
    </w:p>
    <w:p w:rsidR="00EE24F7" w:rsidRDefault="00EE24F7" w:rsidP="00EE24F7"/>
    <w:p w:rsidR="00EE24F7" w:rsidRDefault="00EE24F7" w:rsidP="00EE24F7"/>
    <w:p w:rsidR="00EE24F7" w:rsidRDefault="0052048E" w:rsidP="00EE24F7">
      <w:pPr>
        <w:pStyle w:val="Heading1"/>
      </w:pPr>
      <w:r>
        <w:t>Week 4 (Sep. 12-14</w:t>
      </w:r>
      <w:r w:rsidR="00EE24F7">
        <w:t xml:space="preserve">): Varieties of Zionism </w:t>
      </w:r>
    </w:p>
    <w:p w:rsidR="00EE24F7" w:rsidRDefault="00EE24F7" w:rsidP="00EE24F7">
      <w:r>
        <w:t>Theodor Herzl, excerpts from “</w:t>
      </w:r>
      <w:r>
        <w:rPr>
          <w:iCs/>
        </w:rPr>
        <w:t>The Jewish State”</w:t>
      </w:r>
      <w:r>
        <w:t xml:space="preserve">, Hertzberg (ed.), </w:t>
      </w:r>
      <w:r>
        <w:rPr>
          <w:u w:val="single"/>
        </w:rPr>
        <w:t>The Zionist Idea</w:t>
      </w:r>
      <w:r>
        <w:t xml:space="preserve">, </w:t>
      </w:r>
      <w:r w:rsidR="0094441D">
        <w:t xml:space="preserve">201-204, </w:t>
      </w:r>
      <w:r>
        <w:t>218-226.</w:t>
      </w:r>
    </w:p>
    <w:p w:rsidR="00EE24F7" w:rsidRDefault="00EE24F7" w:rsidP="005079BA">
      <w:proofErr w:type="spellStart"/>
      <w:r>
        <w:t>Ahad</w:t>
      </w:r>
      <w:proofErr w:type="spellEnd"/>
      <w:r>
        <w:t xml:space="preserve"> Ha-am, “The Negation of the Diaspora”, </w:t>
      </w:r>
      <w:r w:rsidR="007E3C72">
        <w:t xml:space="preserve">Hertzberg (ed.), </w:t>
      </w:r>
      <w:proofErr w:type="gramStart"/>
      <w:r w:rsidR="007E3C72">
        <w:rPr>
          <w:u w:val="single"/>
        </w:rPr>
        <w:t>The</w:t>
      </w:r>
      <w:proofErr w:type="gramEnd"/>
      <w:r w:rsidR="007E3C72">
        <w:rPr>
          <w:u w:val="single"/>
        </w:rPr>
        <w:t xml:space="preserve"> Zionist Idea</w:t>
      </w:r>
      <w:r w:rsidR="005079BA">
        <w:t>, 249-251, 270</w:t>
      </w:r>
      <w:r>
        <w:t>-277.</w:t>
      </w:r>
    </w:p>
    <w:p w:rsidR="00EE24F7" w:rsidRDefault="00EE24F7" w:rsidP="00EE24F7">
      <w:r>
        <w:t xml:space="preserve">Joseph </w:t>
      </w:r>
      <w:proofErr w:type="spellStart"/>
      <w:r>
        <w:t>Hayyim</w:t>
      </w:r>
      <w:proofErr w:type="spellEnd"/>
      <w:r>
        <w:t xml:space="preserve"> Brenner, “Self-Criticism”, </w:t>
      </w:r>
      <w:r w:rsidR="007E3C72">
        <w:t xml:space="preserve">Hertzberg (ed.), </w:t>
      </w:r>
      <w:proofErr w:type="gramStart"/>
      <w:r w:rsidR="007E3C72">
        <w:rPr>
          <w:u w:val="single"/>
        </w:rPr>
        <w:t>The</w:t>
      </w:r>
      <w:proofErr w:type="gramEnd"/>
      <w:r w:rsidR="007E3C72">
        <w:rPr>
          <w:u w:val="single"/>
        </w:rPr>
        <w:t xml:space="preserve"> Zionist Idea</w:t>
      </w:r>
      <w:r>
        <w:t>, 305-312,</w:t>
      </w:r>
    </w:p>
    <w:p w:rsidR="00EE24F7" w:rsidRDefault="00EE24F7" w:rsidP="00EE24F7">
      <w:proofErr w:type="spellStart"/>
      <w:r>
        <w:t>Nahman</w:t>
      </w:r>
      <w:proofErr w:type="spellEnd"/>
      <w:r>
        <w:t xml:space="preserve"> </w:t>
      </w:r>
      <w:proofErr w:type="spellStart"/>
      <w:r>
        <w:t>Syrkin</w:t>
      </w:r>
      <w:proofErr w:type="spellEnd"/>
      <w:r>
        <w:t xml:space="preserve">, “The Jewish Problem and the Socialist-Jewish State” (1898), </w:t>
      </w:r>
      <w:r w:rsidR="000C4B5F">
        <w:t xml:space="preserve">Hertzberg (ed.), </w:t>
      </w:r>
      <w:proofErr w:type="gramStart"/>
      <w:r w:rsidR="000C4B5F">
        <w:rPr>
          <w:u w:val="single"/>
        </w:rPr>
        <w:t>The</w:t>
      </w:r>
      <w:proofErr w:type="gramEnd"/>
      <w:r w:rsidR="000C4B5F">
        <w:rPr>
          <w:u w:val="single"/>
        </w:rPr>
        <w:t xml:space="preserve"> Zionist Idea</w:t>
      </w:r>
      <w:r>
        <w:t xml:space="preserve">, </w:t>
      </w:r>
      <w:r w:rsidR="0094441D">
        <w:t xml:space="preserve">331-332, </w:t>
      </w:r>
      <w:r>
        <w:t>340-351.</w:t>
      </w:r>
    </w:p>
    <w:p w:rsidR="00EE24F7" w:rsidRDefault="00EE24F7" w:rsidP="00EE24F7">
      <w:proofErr w:type="spellStart"/>
      <w:r>
        <w:lastRenderedPageBreak/>
        <w:t>Yehiel</w:t>
      </w:r>
      <w:proofErr w:type="spellEnd"/>
      <w:r>
        <w:t xml:space="preserve"> Michael Pines, “Jewish Nationalism Cannot Be Secular”, and “Religion Is the Source of Jewish Nationalism”, </w:t>
      </w:r>
      <w:r w:rsidR="000C4B5F">
        <w:t xml:space="preserve">Hertzberg (ed.), </w:t>
      </w:r>
      <w:proofErr w:type="gramStart"/>
      <w:r w:rsidR="000C4B5F">
        <w:rPr>
          <w:u w:val="single"/>
        </w:rPr>
        <w:t>The</w:t>
      </w:r>
      <w:proofErr w:type="gramEnd"/>
      <w:r w:rsidR="000C4B5F">
        <w:rPr>
          <w:u w:val="single"/>
        </w:rPr>
        <w:t xml:space="preserve"> Zionist Idea</w:t>
      </w:r>
      <w:r>
        <w:t xml:space="preserve">, </w:t>
      </w:r>
      <w:r w:rsidR="0094441D">
        <w:t xml:space="preserve">407-408, </w:t>
      </w:r>
      <w:r>
        <w:t>411-414.</w:t>
      </w:r>
    </w:p>
    <w:p w:rsidR="00EE24F7" w:rsidRDefault="00EE24F7" w:rsidP="00EE24F7">
      <w:proofErr w:type="gramStart"/>
      <w:r>
        <w:t xml:space="preserve">Louis D. Brandeis, “”The Jewish Problem and How to Solve It”, </w:t>
      </w:r>
      <w:r w:rsidR="000C4B5F">
        <w:t xml:space="preserve">Hertzberg (ed.), </w:t>
      </w:r>
      <w:r w:rsidR="000C4B5F">
        <w:rPr>
          <w:u w:val="single"/>
        </w:rPr>
        <w:t>The Zionist Idea</w:t>
      </w:r>
      <w:r>
        <w:t>, 515-523.</w:t>
      </w:r>
      <w:proofErr w:type="gramEnd"/>
    </w:p>
    <w:p w:rsidR="00EE24F7" w:rsidRDefault="00EE24F7" w:rsidP="00EE24F7"/>
    <w:p w:rsidR="00EE24F7" w:rsidRDefault="00EE24F7" w:rsidP="00EE24F7">
      <w:r>
        <w:t xml:space="preserve"># </w:t>
      </w:r>
      <w:proofErr w:type="spellStart"/>
      <w:r>
        <w:t>Manya</w:t>
      </w:r>
      <w:proofErr w:type="spellEnd"/>
      <w:r>
        <w:t xml:space="preserve"> </w:t>
      </w:r>
      <w:proofErr w:type="spellStart"/>
      <w:r>
        <w:t>Shohat</w:t>
      </w:r>
      <w:proofErr w:type="spellEnd"/>
      <w:r>
        <w:t xml:space="preserve">, “The Woman in the Bund and in </w:t>
      </w:r>
      <w:proofErr w:type="spellStart"/>
      <w:r>
        <w:t>Poalei</w:t>
      </w:r>
      <w:proofErr w:type="spellEnd"/>
      <w:r>
        <w:t xml:space="preserve"> Zion” (1937), Mendes-</w:t>
      </w:r>
      <w:proofErr w:type="spellStart"/>
      <w:r>
        <w:t>Flohr</w:t>
      </w:r>
      <w:proofErr w:type="spellEnd"/>
      <w:r>
        <w:t xml:space="preserve"> and </w:t>
      </w:r>
      <w:proofErr w:type="spellStart"/>
      <w:r>
        <w:t>Reinharz</w:t>
      </w:r>
      <w:proofErr w:type="spellEnd"/>
      <w:r>
        <w:t xml:space="preserve"> (eds.), </w:t>
      </w:r>
      <w:proofErr w:type="gramStart"/>
      <w:r>
        <w:rPr>
          <w:u w:val="single"/>
        </w:rPr>
        <w:t>The</w:t>
      </w:r>
      <w:proofErr w:type="gramEnd"/>
      <w:r>
        <w:rPr>
          <w:u w:val="single"/>
        </w:rPr>
        <w:t xml:space="preserve"> Jew in the Modern World</w:t>
      </w:r>
      <w:r>
        <w:t>, 425-428.</w:t>
      </w:r>
    </w:p>
    <w:p w:rsidR="00EE24F7" w:rsidRDefault="00EE24F7" w:rsidP="00EE24F7"/>
    <w:p w:rsidR="00EE24F7" w:rsidRDefault="00EE24F7" w:rsidP="00EE24F7">
      <w:proofErr w:type="spellStart"/>
      <w:r>
        <w:t>Shapira</w:t>
      </w:r>
      <w:proofErr w:type="spellEnd"/>
      <w:r>
        <w:t xml:space="preserve">, </w:t>
      </w:r>
      <w:r>
        <w:rPr>
          <w:u w:val="single"/>
        </w:rPr>
        <w:t>Land and Power</w:t>
      </w:r>
      <w:r>
        <w:t>, 3-82.</w:t>
      </w:r>
    </w:p>
    <w:p w:rsidR="006B6344" w:rsidRDefault="006B6344" w:rsidP="00EE24F7"/>
    <w:p w:rsidR="00EE24F7" w:rsidRDefault="00EE24F7" w:rsidP="00EE24F7">
      <w:pPr>
        <w:rPr>
          <w:b/>
          <w:bCs/>
        </w:rPr>
      </w:pPr>
    </w:p>
    <w:p w:rsidR="00EE24F7" w:rsidRDefault="0052048E" w:rsidP="00EE24F7">
      <w:pPr>
        <w:pStyle w:val="Heading1"/>
      </w:pPr>
      <w:r>
        <w:t>Week 5 (Sep. 19-21</w:t>
      </w:r>
      <w:r w:rsidR="00EE24F7">
        <w:t>): Varieties of Diaspora Nationalism</w:t>
      </w:r>
    </w:p>
    <w:p w:rsidR="00EE24F7" w:rsidRDefault="00EE24F7" w:rsidP="00EE24F7">
      <w:pPr>
        <w:pStyle w:val="Header"/>
        <w:tabs>
          <w:tab w:val="clear" w:pos="4320"/>
          <w:tab w:val="clear" w:pos="8640"/>
        </w:tabs>
      </w:pPr>
      <w:r>
        <w:t xml:space="preserve"># Simon </w:t>
      </w:r>
      <w:proofErr w:type="spellStart"/>
      <w:r>
        <w:t>Dubnow</w:t>
      </w:r>
      <w:proofErr w:type="spellEnd"/>
      <w:r>
        <w:t>, “</w:t>
      </w:r>
      <w:proofErr w:type="spellStart"/>
      <w:r>
        <w:t>Autonomism</w:t>
      </w:r>
      <w:proofErr w:type="spellEnd"/>
      <w:r>
        <w:t xml:space="preserve">” (1901), the Bund, “Decisions on the Nationality Question” (1899, 1901, 1905, 1910), </w:t>
      </w:r>
      <w:proofErr w:type="spellStart"/>
      <w:r>
        <w:t>Chaim</w:t>
      </w:r>
      <w:proofErr w:type="spellEnd"/>
      <w:r>
        <w:t xml:space="preserve"> </w:t>
      </w:r>
      <w:proofErr w:type="spellStart"/>
      <w:r>
        <w:t>Zhitlowsky</w:t>
      </w:r>
      <w:proofErr w:type="spellEnd"/>
      <w:r>
        <w:t>, “Our Future in America” (1915), and Israel Zangwill, “A Manifesto”, Mendes-</w:t>
      </w:r>
      <w:proofErr w:type="spellStart"/>
      <w:r>
        <w:t>Flohr</w:t>
      </w:r>
      <w:proofErr w:type="spellEnd"/>
      <w:r>
        <w:t xml:space="preserve"> and </w:t>
      </w:r>
      <w:proofErr w:type="spellStart"/>
      <w:r>
        <w:t>Reinharz</w:t>
      </w:r>
      <w:proofErr w:type="spellEnd"/>
      <w:r>
        <w:t xml:space="preserve"> (eds.), </w:t>
      </w:r>
      <w:r>
        <w:rPr>
          <w:u w:val="single"/>
        </w:rPr>
        <w:t>The Jew in the Modern World</w:t>
      </w:r>
      <w:r>
        <w:t>, 417-423, 491-492, 550-552.</w:t>
      </w:r>
    </w:p>
    <w:p w:rsidR="00EE24F7" w:rsidRDefault="00EE24F7" w:rsidP="00EE24F7">
      <w:pPr>
        <w:pStyle w:val="Header"/>
        <w:tabs>
          <w:tab w:val="clear" w:pos="4320"/>
          <w:tab w:val="clear" w:pos="8640"/>
        </w:tabs>
      </w:pPr>
      <w:r>
        <w:t xml:space="preserve"># Vladimir </w:t>
      </w:r>
      <w:proofErr w:type="spellStart"/>
      <w:r>
        <w:t>Medem</w:t>
      </w:r>
      <w:proofErr w:type="spellEnd"/>
      <w:r>
        <w:t xml:space="preserve">, “The Youth of a </w:t>
      </w:r>
      <w:proofErr w:type="spellStart"/>
      <w:r>
        <w:t>Bundist</w:t>
      </w:r>
      <w:proofErr w:type="spellEnd"/>
      <w:r>
        <w:t xml:space="preserve">”, </w:t>
      </w:r>
      <w:proofErr w:type="spellStart"/>
      <w:r>
        <w:t>Dawidowicz</w:t>
      </w:r>
      <w:proofErr w:type="spellEnd"/>
      <w:r>
        <w:t xml:space="preserve"> (ed.), </w:t>
      </w:r>
      <w:proofErr w:type="gramStart"/>
      <w:r>
        <w:rPr>
          <w:u w:val="single"/>
        </w:rPr>
        <w:t>The</w:t>
      </w:r>
      <w:proofErr w:type="gramEnd"/>
      <w:r>
        <w:rPr>
          <w:u w:val="single"/>
        </w:rPr>
        <w:t xml:space="preserve"> Golden Tradition</w:t>
      </w:r>
      <w:r>
        <w:t>, 426-434.</w:t>
      </w:r>
    </w:p>
    <w:p w:rsidR="00EE24F7" w:rsidRDefault="00EE24F7" w:rsidP="00EE24F7">
      <w:pPr>
        <w:pStyle w:val="Header"/>
        <w:tabs>
          <w:tab w:val="clear" w:pos="4320"/>
          <w:tab w:val="clear" w:pos="8640"/>
        </w:tabs>
      </w:pPr>
    </w:p>
    <w:p w:rsidR="00EE24F7" w:rsidRDefault="00EE24F7" w:rsidP="00EE24F7">
      <w:r>
        <w:t xml:space="preserve">Mendelsohn, </w:t>
      </w:r>
      <w:r w:rsidRPr="00A53AF4">
        <w:rPr>
          <w:u w:val="single"/>
        </w:rPr>
        <w:t>On Modern Jewish Politics</w:t>
      </w:r>
      <w:r>
        <w:t>, 63-91.</w:t>
      </w:r>
    </w:p>
    <w:p w:rsidR="00C34417" w:rsidRDefault="00C34417" w:rsidP="00EE24F7"/>
    <w:p w:rsidR="00EE24F7" w:rsidRDefault="00C34417" w:rsidP="00FD7E43">
      <w:r>
        <w:t xml:space="preserve">* </w:t>
      </w:r>
      <w:r w:rsidR="00EE24F7">
        <w:t xml:space="preserve">David E. Fishman, “The Bund and Modern Yiddish Culture”, </w:t>
      </w:r>
      <w:proofErr w:type="spellStart"/>
      <w:r w:rsidR="00FD7E43">
        <w:t>Zvi</w:t>
      </w:r>
      <w:proofErr w:type="spellEnd"/>
      <w:r w:rsidR="00FD7E43">
        <w:t xml:space="preserve"> </w:t>
      </w:r>
      <w:proofErr w:type="spellStart"/>
      <w:r w:rsidR="00EE24F7">
        <w:t>Gitelman</w:t>
      </w:r>
      <w:proofErr w:type="spellEnd"/>
      <w:r w:rsidR="00EE24F7">
        <w:t xml:space="preserve"> (ed.), </w:t>
      </w:r>
      <w:proofErr w:type="gramStart"/>
      <w:r w:rsidR="00EE24F7">
        <w:rPr>
          <w:u w:val="single"/>
        </w:rPr>
        <w:t>The</w:t>
      </w:r>
      <w:proofErr w:type="gramEnd"/>
      <w:r w:rsidR="00EE24F7">
        <w:rPr>
          <w:u w:val="single"/>
        </w:rPr>
        <w:t xml:space="preserve"> Emergence of Modern Jewish Politics</w:t>
      </w:r>
      <w:r w:rsidR="00FD7E43">
        <w:t>,</w:t>
      </w:r>
      <w:r w:rsidR="00EE24F7">
        <w:t xml:space="preserve"> 107-119.</w:t>
      </w:r>
    </w:p>
    <w:p w:rsidR="00EE24F7" w:rsidRDefault="00EE24F7" w:rsidP="00EE24F7"/>
    <w:p w:rsidR="00EE24F7" w:rsidRDefault="00EE24F7" w:rsidP="00EE24F7"/>
    <w:p w:rsidR="00EE24F7" w:rsidRDefault="0052048E" w:rsidP="00EE24F7">
      <w:pPr>
        <w:pStyle w:val="Heading1"/>
      </w:pPr>
      <w:r>
        <w:t>Week 6 (Sep. 26</w:t>
      </w:r>
      <w:r w:rsidR="00EE24F7">
        <w:t>): The Emergence of Orthodox Politics</w:t>
      </w:r>
    </w:p>
    <w:p w:rsidR="0052048E" w:rsidRPr="0052048E" w:rsidRDefault="0052048E" w:rsidP="0052048E">
      <w:pPr>
        <w:rPr>
          <w:b/>
          <w:bCs/>
        </w:rPr>
      </w:pPr>
      <w:r w:rsidRPr="0052048E">
        <w:rPr>
          <w:b/>
          <w:bCs/>
        </w:rPr>
        <w:t xml:space="preserve">Class in cancelled on Sep. 28 (Rosh Hashanah) </w:t>
      </w:r>
    </w:p>
    <w:p w:rsidR="00EE24F7" w:rsidRDefault="00EE24F7" w:rsidP="00EE24F7">
      <w:r>
        <w:t xml:space="preserve"># Rabbi </w:t>
      </w:r>
      <w:proofErr w:type="spellStart"/>
      <w:r>
        <w:t>Zadok</w:t>
      </w:r>
      <w:proofErr w:type="spellEnd"/>
      <w:r>
        <w:t xml:space="preserve"> H. </w:t>
      </w:r>
      <w:proofErr w:type="spellStart"/>
      <w:r>
        <w:t>Rabinowitz</w:t>
      </w:r>
      <w:proofErr w:type="spellEnd"/>
      <w:r>
        <w:t xml:space="preserve">, “The Zionists Are Not Our Saviors” (c. 1900), The Mizrahi, “Manifesto” (1902), and </w:t>
      </w:r>
      <w:proofErr w:type="spellStart"/>
      <w:r>
        <w:t>Agudat</w:t>
      </w:r>
      <w:proofErr w:type="spellEnd"/>
      <w:r>
        <w:t xml:space="preserve"> Israel, “Founding Program” (1912), Mendes-</w:t>
      </w:r>
      <w:proofErr w:type="spellStart"/>
      <w:r>
        <w:t>Flohr</w:t>
      </w:r>
      <w:proofErr w:type="spellEnd"/>
      <w:r>
        <w:t xml:space="preserve"> and </w:t>
      </w:r>
      <w:proofErr w:type="spellStart"/>
      <w:r>
        <w:t>Reinharz</w:t>
      </w:r>
      <w:proofErr w:type="spellEnd"/>
      <w:r>
        <w:t xml:space="preserve"> (eds.), </w:t>
      </w:r>
      <w:r>
        <w:rPr>
          <w:u w:val="single"/>
        </w:rPr>
        <w:t>The Jew in the Modern World</w:t>
      </w:r>
      <w:r>
        <w:t>, 544-546, 565-566.</w:t>
      </w:r>
    </w:p>
    <w:p w:rsidR="00EE24F7" w:rsidRDefault="00EE24F7" w:rsidP="00EE24F7"/>
    <w:p w:rsidR="00E51C89" w:rsidRDefault="00E51C89" w:rsidP="00EE24F7">
      <w:r>
        <w:t xml:space="preserve">* </w:t>
      </w:r>
      <w:proofErr w:type="spellStart"/>
      <w:r>
        <w:t>Gershon</w:t>
      </w:r>
      <w:proofErr w:type="spellEnd"/>
      <w:r>
        <w:t xml:space="preserve"> Bacon, “The Politics of Tradi</w:t>
      </w:r>
      <w:r w:rsidR="00086310">
        <w:t>tion</w:t>
      </w:r>
      <w:r>
        <w:t xml:space="preserve">: </w:t>
      </w:r>
      <w:proofErr w:type="spellStart"/>
      <w:r>
        <w:t>Agudat</w:t>
      </w:r>
      <w:proofErr w:type="spellEnd"/>
      <w:r>
        <w:t xml:space="preserve"> Israel in Polish Politics, 1916-1930”, </w:t>
      </w:r>
      <w:r w:rsidRPr="00E51C89">
        <w:rPr>
          <w:u w:val="single"/>
        </w:rPr>
        <w:t>Studies in Contemporary Jewry</w:t>
      </w:r>
      <w:r>
        <w:t xml:space="preserve"> (1986): </w:t>
      </w:r>
      <w:r w:rsidR="00E77E0B">
        <w:t>144-163.</w:t>
      </w:r>
    </w:p>
    <w:p w:rsidR="0094441D" w:rsidRDefault="0094441D" w:rsidP="0094441D">
      <w:r>
        <w:t xml:space="preserve">* Arthur Goren, </w:t>
      </w:r>
      <w:proofErr w:type="gramStart"/>
      <w:r>
        <w:rPr>
          <w:u w:val="single"/>
        </w:rPr>
        <w:t>The</w:t>
      </w:r>
      <w:proofErr w:type="gramEnd"/>
      <w:r>
        <w:rPr>
          <w:u w:val="single"/>
        </w:rPr>
        <w:t xml:space="preserve"> Politics and Public Culture of American Jews</w:t>
      </w:r>
      <w:r>
        <w:t>, 100-109.</w:t>
      </w:r>
    </w:p>
    <w:p w:rsidR="00735DC9" w:rsidRDefault="00735DC9" w:rsidP="00735DC9">
      <w:r>
        <w:t xml:space="preserve">* Jeffrey S. </w:t>
      </w:r>
      <w:proofErr w:type="spellStart"/>
      <w:r>
        <w:t>Gurock</w:t>
      </w:r>
      <w:proofErr w:type="spellEnd"/>
      <w:r>
        <w:t xml:space="preserve">, “American Orthodox Organizations in Support of Zionism”, </w:t>
      </w:r>
      <w:r>
        <w:rPr>
          <w:u w:val="single"/>
        </w:rPr>
        <w:t>American Jewish Orthodoxy in Historical Perspective</w:t>
      </w:r>
      <w:r>
        <w:t>, 117-133.</w:t>
      </w:r>
    </w:p>
    <w:p w:rsidR="006B6344" w:rsidRDefault="006B6344" w:rsidP="00EE24F7"/>
    <w:p w:rsidR="00735DC9" w:rsidRDefault="00735DC9" w:rsidP="00EE24F7"/>
    <w:p w:rsidR="00EE24F7" w:rsidRDefault="0052048E" w:rsidP="00EE24F7">
      <w:pPr>
        <w:pStyle w:val="Heading1"/>
      </w:pPr>
      <w:r>
        <w:t>Week 7 (Oct. 3-5</w:t>
      </w:r>
      <w:r w:rsidR="00EE24F7">
        <w:t>): Revolutionary Upheavals</w:t>
      </w:r>
    </w:p>
    <w:p w:rsidR="00EE24F7" w:rsidRDefault="00EE24F7" w:rsidP="00EE24F7">
      <w:r>
        <w:t xml:space="preserve"># Rosa Luxemburg, “No Room in My Heart for Jewish Suffering” (1916) and </w:t>
      </w:r>
      <w:proofErr w:type="spellStart"/>
      <w:r>
        <w:t>Yevsektsiya</w:t>
      </w:r>
      <w:proofErr w:type="spellEnd"/>
      <w:r>
        <w:t>, “The Liquidation of Bourgeois Jewish Institutions” (1918), Mendes-</w:t>
      </w:r>
      <w:proofErr w:type="spellStart"/>
      <w:r>
        <w:t>Flohr</w:t>
      </w:r>
      <w:proofErr w:type="spellEnd"/>
      <w:r>
        <w:t xml:space="preserve"> and </w:t>
      </w:r>
      <w:proofErr w:type="spellStart"/>
      <w:r>
        <w:t>Reinharz</w:t>
      </w:r>
      <w:proofErr w:type="spellEnd"/>
      <w:r>
        <w:t xml:space="preserve"> (eds.), </w:t>
      </w:r>
      <w:proofErr w:type="gramStart"/>
      <w:r>
        <w:rPr>
          <w:u w:val="single"/>
        </w:rPr>
        <w:t>The</w:t>
      </w:r>
      <w:proofErr w:type="gramEnd"/>
      <w:r>
        <w:rPr>
          <w:u w:val="single"/>
        </w:rPr>
        <w:t xml:space="preserve"> Jew in the Modern World</w:t>
      </w:r>
      <w:r>
        <w:t>, 261-262, 433-436.</w:t>
      </w:r>
    </w:p>
    <w:p w:rsidR="00EE24F7" w:rsidRDefault="00EE24F7" w:rsidP="00EE24F7">
      <w:pPr>
        <w:pStyle w:val="Header"/>
        <w:tabs>
          <w:tab w:val="clear" w:pos="4320"/>
          <w:tab w:val="clear" w:pos="8640"/>
        </w:tabs>
      </w:pPr>
      <w:r>
        <w:t xml:space="preserve"># Excerpt from </w:t>
      </w:r>
      <w:proofErr w:type="spellStart"/>
      <w:r>
        <w:t>Chaim</w:t>
      </w:r>
      <w:proofErr w:type="spellEnd"/>
      <w:r>
        <w:t xml:space="preserve"> </w:t>
      </w:r>
      <w:proofErr w:type="spellStart"/>
      <w:r>
        <w:t>Nachman</w:t>
      </w:r>
      <w:proofErr w:type="spellEnd"/>
      <w:r>
        <w:t xml:space="preserve"> </w:t>
      </w:r>
      <w:proofErr w:type="spellStart"/>
      <w:r>
        <w:t>Bialik</w:t>
      </w:r>
      <w:proofErr w:type="spellEnd"/>
      <w:r>
        <w:t xml:space="preserve">, “The City of </w:t>
      </w:r>
      <w:smartTag w:uri="urn:schemas-microsoft-com:office:smarttags" w:element="City">
        <w:smartTag w:uri="urn:schemas-microsoft-com:office:smarttags" w:element="place">
          <w:r>
            <w:t>Slaughter</w:t>
          </w:r>
        </w:smartTag>
      </w:smartTag>
      <w:r>
        <w:t>”</w:t>
      </w:r>
    </w:p>
    <w:p w:rsidR="00EE24F7" w:rsidRDefault="00EE24F7" w:rsidP="00EE24F7"/>
    <w:p w:rsidR="00EE24F7" w:rsidRDefault="00EE24F7" w:rsidP="00EE24F7">
      <w:proofErr w:type="spellStart"/>
      <w:r>
        <w:t>Shapira</w:t>
      </w:r>
      <w:proofErr w:type="spellEnd"/>
      <w:r>
        <w:t xml:space="preserve">, </w:t>
      </w:r>
      <w:r>
        <w:rPr>
          <w:u w:val="single"/>
        </w:rPr>
        <w:t>Land and Power</w:t>
      </w:r>
      <w:r>
        <w:t>, 83-126</w:t>
      </w:r>
    </w:p>
    <w:p w:rsidR="006B6344" w:rsidRDefault="006B6344" w:rsidP="00EE24F7"/>
    <w:p w:rsidR="00EE24F7" w:rsidRDefault="006B6344" w:rsidP="00EE24F7">
      <w:r>
        <w:lastRenderedPageBreak/>
        <w:t xml:space="preserve">* </w:t>
      </w:r>
      <w:r w:rsidR="00EE24F7">
        <w:t xml:space="preserve">Goren, </w:t>
      </w:r>
      <w:proofErr w:type="gramStart"/>
      <w:r w:rsidR="00EE24F7">
        <w:rPr>
          <w:u w:val="single"/>
        </w:rPr>
        <w:t>The</w:t>
      </w:r>
      <w:proofErr w:type="gramEnd"/>
      <w:r w:rsidR="00EE24F7">
        <w:rPr>
          <w:u w:val="single"/>
        </w:rPr>
        <w:t xml:space="preserve"> Politics and Public Culture of American Jews</w:t>
      </w:r>
      <w:r w:rsidR="00EE24F7">
        <w:t>, 83-99.</w:t>
      </w:r>
    </w:p>
    <w:p w:rsidR="00E51C89" w:rsidRDefault="00E51C89" w:rsidP="00E51C89">
      <w:r>
        <w:t xml:space="preserve">* Jonathan Frankel, “The </w:t>
      </w:r>
      <w:proofErr w:type="spellStart"/>
      <w:r>
        <w:t>Bundists</w:t>
      </w:r>
      <w:proofErr w:type="spellEnd"/>
      <w:r>
        <w:t xml:space="preserve"> in America and the ‘Zionist Problem’”, </w:t>
      </w:r>
      <w:proofErr w:type="spellStart"/>
      <w:r>
        <w:t>Gitelman</w:t>
      </w:r>
      <w:proofErr w:type="spellEnd"/>
      <w:r>
        <w:t xml:space="preserve"> (ed.), </w:t>
      </w:r>
      <w:proofErr w:type="gramStart"/>
      <w:r>
        <w:rPr>
          <w:u w:val="single"/>
        </w:rPr>
        <w:t>The</w:t>
      </w:r>
      <w:proofErr w:type="gramEnd"/>
      <w:r>
        <w:rPr>
          <w:u w:val="single"/>
        </w:rPr>
        <w:t xml:space="preserve"> Emergence of Modern Jewish Politics</w:t>
      </w:r>
      <w:r>
        <w:t>, 181-196.</w:t>
      </w:r>
    </w:p>
    <w:p w:rsidR="00EE24F7" w:rsidRDefault="00EE24F7" w:rsidP="00EE24F7"/>
    <w:p w:rsidR="00EE24F7" w:rsidRDefault="00EE24F7" w:rsidP="00EE24F7"/>
    <w:p w:rsidR="00EE24F7" w:rsidRDefault="00EE24F7" w:rsidP="00EE24F7">
      <w:pPr>
        <w:pStyle w:val="Heading1"/>
      </w:pPr>
      <w:r>
        <w:t>Week</w:t>
      </w:r>
      <w:r w:rsidR="00E5453F">
        <w:t>s</w:t>
      </w:r>
      <w:r>
        <w:t xml:space="preserve"> 8</w:t>
      </w:r>
      <w:r w:rsidR="00E5453F">
        <w:t>-9</w:t>
      </w:r>
      <w:r>
        <w:t xml:space="preserve"> (Oct. </w:t>
      </w:r>
      <w:r w:rsidR="0052048E">
        <w:t>10-17</w:t>
      </w:r>
      <w:r>
        <w:t>): Creating a “New Jew”</w:t>
      </w:r>
    </w:p>
    <w:p w:rsidR="0052048E" w:rsidRDefault="0052048E" w:rsidP="00EE24F7">
      <w:pPr>
        <w:rPr>
          <w:b/>
        </w:rPr>
      </w:pPr>
      <w:r>
        <w:rPr>
          <w:b/>
        </w:rPr>
        <w:t>Class is cancelled on Oct. 12 (Sukkot) and Oct. 19 (</w:t>
      </w:r>
      <w:proofErr w:type="spellStart"/>
      <w:r>
        <w:rPr>
          <w:b/>
        </w:rPr>
        <w:t>Shemini</w:t>
      </w:r>
      <w:proofErr w:type="spellEnd"/>
      <w:r>
        <w:rPr>
          <w:b/>
        </w:rPr>
        <w:t xml:space="preserve"> </w:t>
      </w:r>
      <w:proofErr w:type="spellStart"/>
      <w:r>
        <w:rPr>
          <w:b/>
        </w:rPr>
        <w:t>Atzeret</w:t>
      </w:r>
      <w:proofErr w:type="spellEnd"/>
      <w:r w:rsidR="0099365C">
        <w:rPr>
          <w:b/>
        </w:rPr>
        <w:t>/</w:t>
      </w:r>
      <w:proofErr w:type="spellStart"/>
      <w:r w:rsidR="0099365C">
        <w:rPr>
          <w:b/>
        </w:rPr>
        <w:t>Simchat</w:t>
      </w:r>
      <w:proofErr w:type="spellEnd"/>
      <w:r w:rsidR="0099365C">
        <w:rPr>
          <w:b/>
        </w:rPr>
        <w:t xml:space="preserve"> Torah</w:t>
      </w:r>
      <w:r>
        <w:rPr>
          <w:b/>
        </w:rPr>
        <w:t>)</w:t>
      </w:r>
    </w:p>
    <w:p w:rsidR="00641259" w:rsidRPr="00520F63" w:rsidRDefault="00641259" w:rsidP="00641259">
      <w:pPr>
        <w:rPr>
          <w:b/>
          <w:bCs/>
        </w:rPr>
      </w:pPr>
      <w:r>
        <w:rPr>
          <w:b/>
          <w:bCs/>
        </w:rPr>
        <w:t>In-class midterm exam on Monday, Oct. 10</w:t>
      </w:r>
    </w:p>
    <w:p w:rsidR="00EE24F7" w:rsidRDefault="00EE24F7" w:rsidP="00EE24F7">
      <w:r>
        <w:t># Max Nordau, “Jewry of Muscle” (1903) Mendes-</w:t>
      </w:r>
      <w:proofErr w:type="spellStart"/>
      <w:r>
        <w:t>Flohr</w:t>
      </w:r>
      <w:proofErr w:type="spellEnd"/>
      <w:r>
        <w:t xml:space="preserve"> and </w:t>
      </w:r>
      <w:proofErr w:type="spellStart"/>
      <w:r>
        <w:t>Reinharz</w:t>
      </w:r>
      <w:proofErr w:type="spellEnd"/>
      <w:r>
        <w:t xml:space="preserve"> (eds.), </w:t>
      </w:r>
      <w:proofErr w:type="gramStart"/>
      <w:r>
        <w:rPr>
          <w:u w:val="single"/>
        </w:rPr>
        <w:t>The</w:t>
      </w:r>
      <w:proofErr w:type="gramEnd"/>
      <w:r>
        <w:rPr>
          <w:u w:val="single"/>
        </w:rPr>
        <w:t xml:space="preserve"> Jew in the Modern World</w:t>
      </w:r>
      <w:r>
        <w:t>, 547-548.</w:t>
      </w:r>
    </w:p>
    <w:p w:rsidR="00EE24F7" w:rsidRDefault="00EE24F7" w:rsidP="00EE24F7">
      <w:pPr>
        <w:pStyle w:val="Header"/>
        <w:tabs>
          <w:tab w:val="clear" w:pos="4320"/>
          <w:tab w:val="clear" w:pos="8640"/>
        </w:tabs>
      </w:pPr>
      <w:r>
        <w:t xml:space="preserve"># </w:t>
      </w:r>
      <w:proofErr w:type="spellStart"/>
      <w:r>
        <w:t>Haim</w:t>
      </w:r>
      <w:proofErr w:type="spellEnd"/>
      <w:r>
        <w:t xml:space="preserve"> </w:t>
      </w:r>
      <w:proofErr w:type="spellStart"/>
      <w:r>
        <w:t>Hazaz</w:t>
      </w:r>
      <w:proofErr w:type="spellEnd"/>
      <w:r>
        <w:t xml:space="preserve">, “The Sermon”, </w:t>
      </w:r>
      <w:proofErr w:type="gramStart"/>
      <w:r>
        <w:rPr>
          <w:u w:val="single"/>
        </w:rPr>
        <w:t>The</w:t>
      </w:r>
      <w:proofErr w:type="gramEnd"/>
      <w:r>
        <w:rPr>
          <w:u w:val="single"/>
        </w:rPr>
        <w:t xml:space="preserve"> Sermon &amp; Other Stories</w:t>
      </w:r>
      <w:r>
        <w:t>, 231-249.</w:t>
      </w:r>
    </w:p>
    <w:p w:rsidR="00EE24F7" w:rsidRDefault="00EE24F7" w:rsidP="00EE24F7"/>
    <w:p w:rsidR="00A82469" w:rsidRDefault="00A82469" w:rsidP="00A82469">
      <w:r>
        <w:t xml:space="preserve">Mendelsohn, </w:t>
      </w:r>
      <w:r>
        <w:rPr>
          <w:u w:val="single"/>
        </w:rPr>
        <w:t>On Modern Jewish Politics</w:t>
      </w:r>
      <w:r>
        <w:t>, 93-113.</w:t>
      </w:r>
    </w:p>
    <w:p w:rsidR="00EE24F7" w:rsidRPr="0022559D" w:rsidRDefault="00EE24F7" w:rsidP="00EE24F7">
      <w:proofErr w:type="spellStart"/>
      <w:r>
        <w:t>Shapira</w:t>
      </w:r>
      <w:proofErr w:type="spellEnd"/>
      <w:r>
        <w:t xml:space="preserve">, </w:t>
      </w:r>
      <w:r>
        <w:rPr>
          <w:u w:val="single"/>
        </w:rPr>
        <w:t>Land and Power</w:t>
      </w:r>
      <w:r>
        <w:t>, 257-276, 343-352.</w:t>
      </w:r>
    </w:p>
    <w:p w:rsidR="00EE24F7" w:rsidRDefault="00EE24F7" w:rsidP="00EE24F7"/>
    <w:p w:rsidR="005C29E5" w:rsidRDefault="005C29E5" w:rsidP="005C29E5">
      <w:r>
        <w:t xml:space="preserve">* Goren, </w:t>
      </w:r>
      <w:proofErr w:type="gramStart"/>
      <w:r>
        <w:rPr>
          <w:u w:val="single"/>
        </w:rPr>
        <w:t>The</w:t>
      </w:r>
      <w:proofErr w:type="gramEnd"/>
      <w:r>
        <w:rPr>
          <w:u w:val="single"/>
        </w:rPr>
        <w:t xml:space="preserve"> Politics and Public Culture of American Jews</w:t>
      </w:r>
      <w:r>
        <w:t>, 165-185.</w:t>
      </w:r>
    </w:p>
    <w:p w:rsidR="00EE24F7" w:rsidRDefault="00EE24F7" w:rsidP="00EE24F7">
      <w:r>
        <w:t xml:space="preserve">* Oz </w:t>
      </w:r>
      <w:proofErr w:type="spellStart"/>
      <w:r>
        <w:t>Almog</w:t>
      </w:r>
      <w:proofErr w:type="spellEnd"/>
      <w:r>
        <w:t xml:space="preserve">, </w:t>
      </w:r>
      <w:proofErr w:type="gramStart"/>
      <w:r>
        <w:rPr>
          <w:u w:val="single"/>
        </w:rPr>
        <w:t>The</w:t>
      </w:r>
      <w:proofErr w:type="gramEnd"/>
      <w:r>
        <w:rPr>
          <w:u w:val="single"/>
        </w:rPr>
        <w:t xml:space="preserve"> Sabra: The Creation of the New Jew</w:t>
      </w:r>
      <w:r>
        <w:t>, 138-159.</w:t>
      </w:r>
    </w:p>
    <w:p w:rsidR="00EE24F7" w:rsidRDefault="00EE24F7" w:rsidP="00EE24F7"/>
    <w:p w:rsidR="00EE24F7" w:rsidRDefault="00EE24F7" w:rsidP="00EE24F7"/>
    <w:p w:rsidR="00EE24F7" w:rsidRDefault="00E5453F" w:rsidP="00EE24F7">
      <w:pPr>
        <w:pStyle w:val="Heading1"/>
      </w:pPr>
      <w:r>
        <w:t>Week 10</w:t>
      </w:r>
      <w:r w:rsidR="0052048E">
        <w:t xml:space="preserve"> (Oct. 24-26</w:t>
      </w:r>
      <w:r w:rsidR="00EE24F7">
        <w:t>): Interwar Developments</w:t>
      </w:r>
    </w:p>
    <w:p w:rsidR="00EE24F7" w:rsidRDefault="00EE24F7" w:rsidP="00EE24F7">
      <w:r>
        <w:t xml:space="preserve"># Yitzhak </w:t>
      </w:r>
      <w:proofErr w:type="spellStart"/>
      <w:r>
        <w:t>Gruenbaum</w:t>
      </w:r>
      <w:proofErr w:type="spellEnd"/>
      <w:r>
        <w:t>, "Why Did We Create the Minorities Bloc?" (1922), Mendes-</w:t>
      </w:r>
      <w:proofErr w:type="spellStart"/>
      <w:r>
        <w:t>Flohr</w:t>
      </w:r>
      <w:proofErr w:type="spellEnd"/>
      <w:r>
        <w:t xml:space="preserve"> and </w:t>
      </w:r>
      <w:proofErr w:type="spellStart"/>
      <w:r>
        <w:t>Reinharz</w:t>
      </w:r>
      <w:proofErr w:type="spellEnd"/>
      <w:r>
        <w:t xml:space="preserve"> (eds.), </w:t>
      </w:r>
      <w:proofErr w:type="gramStart"/>
      <w:r>
        <w:rPr>
          <w:u w:val="single"/>
        </w:rPr>
        <w:t>The</w:t>
      </w:r>
      <w:proofErr w:type="gramEnd"/>
      <w:r>
        <w:rPr>
          <w:u w:val="single"/>
        </w:rPr>
        <w:t xml:space="preserve"> Jew in the Modern World</w:t>
      </w:r>
      <w:r>
        <w:t>, 442-446.</w:t>
      </w:r>
    </w:p>
    <w:p w:rsidR="00EE24F7" w:rsidRDefault="00EE24F7" w:rsidP="00735DC9">
      <w:r>
        <w:t xml:space="preserve"># Vladimir </w:t>
      </w:r>
      <w:proofErr w:type="spellStart"/>
      <w:r>
        <w:t>Jabotinsky</w:t>
      </w:r>
      <w:proofErr w:type="spellEnd"/>
      <w:r>
        <w:t xml:space="preserve">, "What the Zionist-Revisionists Want" (1926), </w:t>
      </w:r>
      <w:r w:rsidR="00735DC9">
        <w:t>Mendes-</w:t>
      </w:r>
      <w:proofErr w:type="spellStart"/>
      <w:r w:rsidR="00735DC9">
        <w:t>Flohr</w:t>
      </w:r>
      <w:proofErr w:type="spellEnd"/>
      <w:r w:rsidR="00735DC9">
        <w:t xml:space="preserve"> and </w:t>
      </w:r>
      <w:proofErr w:type="spellStart"/>
      <w:r w:rsidR="00735DC9">
        <w:t>Reinharz</w:t>
      </w:r>
      <w:proofErr w:type="spellEnd"/>
      <w:r w:rsidR="00735DC9">
        <w:t xml:space="preserve"> (eds.), </w:t>
      </w:r>
      <w:proofErr w:type="gramStart"/>
      <w:r w:rsidR="00735DC9">
        <w:rPr>
          <w:u w:val="single"/>
        </w:rPr>
        <w:t>The</w:t>
      </w:r>
      <w:proofErr w:type="gramEnd"/>
      <w:r w:rsidR="00735DC9">
        <w:rPr>
          <w:u w:val="single"/>
        </w:rPr>
        <w:t xml:space="preserve"> Jew in the Modern World</w:t>
      </w:r>
      <w:r w:rsidR="00735DC9">
        <w:t xml:space="preserve">, </w:t>
      </w:r>
      <w:r>
        <w:t>594-597.</w:t>
      </w:r>
    </w:p>
    <w:p w:rsidR="00EE24F7" w:rsidRDefault="00EE24F7" w:rsidP="00EE24F7">
      <w:r>
        <w:t xml:space="preserve"># David Frankel, "Kibbutz </w:t>
      </w:r>
      <w:proofErr w:type="spellStart"/>
      <w:r>
        <w:t>Hakhshara</w:t>
      </w:r>
      <w:proofErr w:type="spellEnd"/>
      <w:r>
        <w:t xml:space="preserve">: A Memoir" (c. 1935), </w:t>
      </w:r>
      <w:r w:rsidR="00735DC9">
        <w:t>Mendes-</w:t>
      </w:r>
      <w:proofErr w:type="spellStart"/>
      <w:r w:rsidR="00735DC9">
        <w:t>Flohr</w:t>
      </w:r>
      <w:proofErr w:type="spellEnd"/>
      <w:r w:rsidR="00735DC9">
        <w:t xml:space="preserve"> and </w:t>
      </w:r>
      <w:proofErr w:type="spellStart"/>
      <w:r w:rsidR="00735DC9">
        <w:t>Reinharz</w:t>
      </w:r>
      <w:proofErr w:type="spellEnd"/>
      <w:r w:rsidR="00735DC9">
        <w:t xml:space="preserve"> (eds.), </w:t>
      </w:r>
      <w:proofErr w:type="gramStart"/>
      <w:r w:rsidR="00735DC9">
        <w:rPr>
          <w:u w:val="single"/>
        </w:rPr>
        <w:t>The</w:t>
      </w:r>
      <w:proofErr w:type="gramEnd"/>
      <w:r w:rsidR="00735DC9">
        <w:rPr>
          <w:u w:val="single"/>
        </w:rPr>
        <w:t xml:space="preserve"> Jew in the Modern World</w:t>
      </w:r>
      <w:r>
        <w:t>, 598-599.</w:t>
      </w:r>
    </w:p>
    <w:p w:rsidR="00EE24F7" w:rsidRDefault="00EE24F7" w:rsidP="00735DC9">
      <w:r>
        <w:t xml:space="preserve"># David Ben-Gurion, "On the Arab Question" (January 7, 1937), </w:t>
      </w:r>
      <w:r w:rsidR="00735DC9">
        <w:t>Mendes-</w:t>
      </w:r>
      <w:proofErr w:type="spellStart"/>
      <w:r w:rsidR="00735DC9">
        <w:t>Flohr</w:t>
      </w:r>
      <w:proofErr w:type="spellEnd"/>
      <w:r w:rsidR="00735DC9">
        <w:t xml:space="preserve"> and </w:t>
      </w:r>
      <w:proofErr w:type="spellStart"/>
      <w:r w:rsidR="00735DC9">
        <w:t>Reinharz</w:t>
      </w:r>
      <w:proofErr w:type="spellEnd"/>
      <w:r w:rsidR="00735DC9">
        <w:t xml:space="preserve"> (eds.), </w:t>
      </w:r>
      <w:proofErr w:type="gramStart"/>
      <w:r w:rsidR="00735DC9">
        <w:rPr>
          <w:u w:val="single"/>
        </w:rPr>
        <w:t>The</w:t>
      </w:r>
      <w:proofErr w:type="gramEnd"/>
      <w:r w:rsidR="00735DC9">
        <w:rPr>
          <w:u w:val="single"/>
        </w:rPr>
        <w:t xml:space="preserve"> Jew in the Modern World</w:t>
      </w:r>
      <w:r w:rsidR="00735DC9">
        <w:t xml:space="preserve">, </w:t>
      </w:r>
      <w:r>
        <w:t>603-608</w:t>
      </w:r>
      <w:r w:rsidR="00735DC9">
        <w:t>.</w:t>
      </w:r>
    </w:p>
    <w:p w:rsidR="00EE24F7" w:rsidRDefault="00EE24F7" w:rsidP="00EE24F7">
      <w:r>
        <w:t xml:space="preserve"># "The Columbus Platform" (1937), </w:t>
      </w:r>
      <w:r w:rsidR="00735DC9">
        <w:t>Mendes-</w:t>
      </w:r>
      <w:proofErr w:type="spellStart"/>
      <w:r w:rsidR="00735DC9">
        <w:t>Flohr</w:t>
      </w:r>
      <w:proofErr w:type="spellEnd"/>
      <w:r w:rsidR="00735DC9">
        <w:t xml:space="preserve"> and </w:t>
      </w:r>
      <w:proofErr w:type="spellStart"/>
      <w:r w:rsidR="00735DC9">
        <w:t>Reinharz</w:t>
      </w:r>
      <w:proofErr w:type="spellEnd"/>
      <w:r w:rsidR="00735DC9">
        <w:t xml:space="preserve"> (eds.), </w:t>
      </w:r>
      <w:proofErr w:type="gramStart"/>
      <w:r w:rsidR="00735DC9">
        <w:rPr>
          <w:u w:val="single"/>
        </w:rPr>
        <w:t>The</w:t>
      </w:r>
      <w:proofErr w:type="gramEnd"/>
      <w:r w:rsidR="00735DC9">
        <w:rPr>
          <w:u w:val="single"/>
        </w:rPr>
        <w:t xml:space="preserve"> Jew in the Modern World</w:t>
      </w:r>
      <w:r>
        <w:t>, 517-518.</w:t>
      </w:r>
    </w:p>
    <w:p w:rsidR="00EE24F7" w:rsidRDefault="00EE24F7" w:rsidP="00EE24F7"/>
    <w:p w:rsidR="00EE24F7" w:rsidRDefault="00EE24F7" w:rsidP="00EE24F7">
      <w:r>
        <w:t xml:space="preserve">Mendelsohn, </w:t>
      </w:r>
      <w:r>
        <w:rPr>
          <w:u w:val="single"/>
        </w:rPr>
        <w:t>On Modern Jewish Politics</w:t>
      </w:r>
      <w:r w:rsidR="00A82469">
        <w:t>, 115</w:t>
      </w:r>
      <w:r>
        <w:t>-125.</w:t>
      </w:r>
    </w:p>
    <w:p w:rsidR="00EE24F7" w:rsidRDefault="00EE24F7" w:rsidP="00EE24F7">
      <w:proofErr w:type="spellStart"/>
      <w:r>
        <w:t>Shapira</w:t>
      </w:r>
      <w:proofErr w:type="spellEnd"/>
      <w:r>
        <w:t xml:space="preserve">, </w:t>
      </w:r>
      <w:r>
        <w:rPr>
          <w:u w:val="single"/>
        </w:rPr>
        <w:t>Land and Power</w:t>
      </w:r>
      <w:r>
        <w:t>, 173-257.</w:t>
      </w:r>
    </w:p>
    <w:p w:rsidR="00E51C89" w:rsidRDefault="00E51C89" w:rsidP="00EE24F7"/>
    <w:p w:rsidR="00EE24F7" w:rsidRDefault="00E51C89" w:rsidP="00EE24F7">
      <w:r>
        <w:t xml:space="preserve">* </w:t>
      </w:r>
      <w:r w:rsidR="00EE24F7">
        <w:t xml:space="preserve">Daniel </w:t>
      </w:r>
      <w:proofErr w:type="spellStart"/>
      <w:r w:rsidR="00EE24F7">
        <w:t>Blatman</w:t>
      </w:r>
      <w:proofErr w:type="spellEnd"/>
      <w:r w:rsidR="00EE24F7">
        <w:t xml:space="preserve">, “National-Minority Policy, </w:t>
      </w:r>
      <w:proofErr w:type="spellStart"/>
      <w:r w:rsidR="00EE24F7">
        <w:t>Bundist</w:t>
      </w:r>
      <w:proofErr w:type="spellEnd"/>
      <w:r w:rsidR="00EE24F7">
        <w:t xml:space="preserve"> Social Organizations, and Jewish Women in </w:t>
      </w:r>
      <w:r w:rsidR="009A10F5">
        <w:t>Interwar Poland”;</w:t>
      </w:r>
      <w:r w:rsidR="00EE24F7">
        <w:t xml:space="preserve"> and Samuel D. </w:t>
      </w:r>
      <w:proofErr w:type="spellStart"/>
      <w:r w:rsidR="00EE24F7">
        <w:t>Kassow</w:t>
      </w:r>
      <w:proofErr w:type="spellEnd"/>
      <w:r w:rsidR="00EE24F7">
        <w:t xml:space="preserve">, “The Left </w:t>
      </w:r>
      <w:proofErr w:type="spellStart"/>
      <w:r w:rsidR="00EE24F7">
        <w:t>Poalei</w:t>
      </w:r>
      <w:proofErr w:type="spellEnd"/>
      <w:r w:rsidR="00EE24F7">
        <w:t xml:space="preserve"> </w:t>
      </w:r>
      <w:proofErr w:type="spellStart"/>
      <w:r w:rsidR="00EE24F7">
        <w:t>Tsiyon</w:t>
      </w:r>
      <w:proofErr w:type="spellEnd"/>
      <w:r w:rsidR="00EE24F7">
        <w:t xml:space="preserve"> in Interwar </w:t>
      </w:r>
      <w:smartTag w:uri="urn:schemas-microsoft-com:office:smarttags" w:element="country-region">
        <w:smartTag w:uri="urn:schemas-microsoft-com:office:smarttags" w:element="place">
          <w:r w:rsidR="00EE24F7">
            <w:t>Poland</w:t>
          </w:r>
        </w:smartTag>
      </w:smartTag>
      <w:r w:rsidR="00EE24F7">
        <w:t xml:space="preserve">”, </w:t>
      </w:r>
      <w:proofErr w:type="spellStart"/>
      <w:r w:rsidR="00EE24F7">
        <w:t>Gitelman</w:t>
      </w:r>
      <w:proofErr w:type="spellEnd"/>
      <w:r w:rsidR="00EE24F7">
        <w:t xml:space="preserve"> (ed.), </w:t>
      </w:r>
      <w:proofErr w:type="gramStart"/>
      <w:r w:rsidR="00EE24F7">
        <w:rPr>
          <w:u w:val="single"/>
        </w:rPr>
        <w:t>The</w:t>
      </w:r>
      <w:proofErr w:type="gramEnd"/>
      <w:r w:rsidR="00EE24F7">
        <w:rPr>
          <w:u w:val="single"/>
        </w:rPr>
        <w:t xml:space="preserve"> Emergence of Modern Jewish Politics</w:t>
      </w:r>
      <w:r w:rsidR="00EE24F7">
        <w:t>, 54-84.</w:t>
      </w:r>
    </w:p>
    <w:p w:rsidR="00E8264D" w:rsidRDefault="00E8264D" w:rsidP="00EE24F7"/>
    <w:p w:rsidR="00E8264D" w:rsidRDefault="00E8264D" w:rsidP="00EE24F7"/>
    <w:p w:rsidR="00EE24F7" w:rsidRDefault="00E5453F" w:rsidP="00EE24F7">
      <w:pPr>
        <w:pStyle w:val="BodyText"/>
      </w:pPr>
      <w:r>
        <w:t>Week 11</w:t>
      </w:r>
      <w:r w:rsidR="00EE24F7">
        <w:t xml:space="preserve"> (</w:t>
      </w:r>
      <w:r w:rsidR="0052048E">
        <w:t>Oct. 31-Nov. 2</w:t>
      </w:r>
      <w:r w:rsidR="00EE24F7">
        <w:t>): Dilemmas of Jewish Politics during the Holocaust – Jewish Councils and Jewish Police</w:t>
      </w:r>
    </w:p>
    <w:p w:rsidR="00EE24F7" w:rsidRDefault="00EE24F7" w:rsidP="00EE24F7">
      <w:r>
        <w:t xml:space="preserve"># Mordecai </w:t>
      </w:r>
      <w:proofErr w:type="spellStart"/>
      <w:r>
        <w:t>Chaim</w:t>
      </w:r>
      <w:proofErr w:type="spellEnd"/>
      <w:r>
        <w:t xml:space="preserve"> </w:t>
      </w:r>
      <w:proofErr w:type="spellStart"/>
      <w:r>
        <w:t>Rumkowski</w:t>
      </w:r>
      <w:proofErr w:type="spellEnd"/>
      <w:r>
        <w:t xml:space="preserve">, “On the Deportation of Children from the </w:t>
      </w:r>
      <w:smartTag w:uri="urn:schemas-microsoft-com:office:smarttags" w:element="City">
        <w:smartTag w:uri="urn:schemas-microsoft-com:office:smarttags" w:element="place">
          <w:r>
            <w:t>Lodz</w:t>
          </w:r>
        </w:smartTag>
      </w:smartTag>
      <w:r>
        <w:t xml:space="preserve"> Ghetto” (1942), Mendes-</w:t>
      </w:r>
      <w:proofErr w:type="spellStart"/>
      <w:r>
        <w:t>Flohr</w:t>
      </w:r>
      <w:proofErr w:type="spellEnd"/>
      <w:r>
        <w:t xml:space="preserve"> and </w:t>
      </w:r>
      <w:proofErr w:type="spellStart"/>
      <w:r>
        <w:t>Reinharz</w:t>
      </w:r>
      <w:proofErr w:type="spellEnd"/>
      <w:r>
        <w:t xml:space="preserve"> (eds.), </w:t>
      </w:r>
      <w:proofErr w:type="gramStart"/>
      <w:r>
        <w:rPr>
          <w:u w:val="single"/>
        </w:rPr>
        <w:t>The</w:t>
      </w:r>
      <w:proofErr w:type="gramEnd"/>
      <w:r>
        <w:rPr>
          <w:u w:val="single"/>
        </w:rPr>
        <w:t xml:space="preserve"> Jew in the Modern World</w:t>
      </w:r>
      <w:r>
        <w:t>, 690-692.</w:t>
      </w:r>
    </w:p>
    <w:p w:rsidR="00697C3D" w:rsidRDefault="00697C3D" w:rsidP="00EE24F7">
      <w:r>
        <w:t xml:space="preserve"># </w:t>
      </w:r>
      <w:proofErr w:type="gramStart"/>
      <w:r w:rsidRPr="00697C3D">
        <w:rPr>
          <w:u w:val="single"/>
        </w:rPr>
        <w:t>The</w:t>
      </w:r>
      <w:proofErr w:type="gramEnd"/>
      <w:r w:rsidRPr="00697C3D">
        <w:rPr>
          <w:u w:val="single"/>
        </w:rPr>
        <w:t xml:space="preserve"> Journal of Emmanuel </w:t>
      </w:r>
      <w:proofErr w:type="spellStart"/>
      <w:r w:rsidRPr="00697C3D">
        <w:rPr>
          <w:u w:val="single"/>
        </w:rPr>
        <w:t>Ringelblum</w:t>
      </w:r>
      <w:proofErr w:type="spellEnd"/>
      <w:r>
        <w:t>, 329-336.</w:t>
      </w:r>
    </w:p>
    <w:p w:rsidR="00EE24F7" w:rsidRDefault="00EE24F7" w:rsidP="00EE24F7">
      <w:r>
        <w:t xml:space="preserve"># Excerpt from </w:t>
      </w:r>
      <w:proofErr w:type="spellStart"/>
      <w:r>
        <w:t>Calel</w:t>
      </w:r>
      <w:proofErr w:type="spellEnd"/>
      <w:r>
        <w:t xml:space="preserve"> </w:t>
      </w:r>
      <w:proofErr w:type="spellStart"/>
      <w:r>
        <w:t>Perechodnik</w:t>
      </w:r>
      <w:proofErr w:type="spellEnd"/>
      <w:r>
        <w:t xml:space="preserve">, </w:t>
      </w:r>
      <w:r>
        <w:rPr>
          <w:u w:val="single"/>
        </w:rPr>
        <w:t>Am I a Murderer?</w:t>
      </w:r>
      <w:r>
        <w:t xml:space="preserve"> </w:t>
      </w:r>
    </w:p>
    <w:p w:rsidR="00EE24F7" w:rsidRDefault="00EE24F7" w:rsidP="00EE24F7">
      <w:r>
        <w:t xml:space="preserve"># Excerpt from Yitzhak </w:t>
      </w:r>
      <w:proofErr w:type="spellStart"/>
      <w:r>
        <w:t>Katznelson</w:t>
      </w:r>
      <w:proofErr w:type="spellEnd"/>
      <w:r>
        <w:t xml:space="preserve">, </w:t>
      </w:r>
      <w:proofErr w:type="spellStart"/>
      <w:r w:rsidRPr="00DE0119">
        <w:rPr>
          <w:u w:val="single"/>
        </w:rPr>
        <w:t>Vittel</w:t>
      </w:r>
      <w:proofErr w:type="spellEnd"/>
      <w:r w:rsidRPr="00DE0119">
        <w:rPr>
          <w:u w:val="single"/>
        </w:rPr>
        <w:t xml:space="preserve"> Diary</w:t>
      </w:r>
    </w:p>
    <w:p w:rsidR="00EE24F7" w:rsidRDefault="00EE24F7" w:rsidP="00EE24F7"/>
    <w:p w:rsidR="00EE24F7" w:rsidRDefault="00EE24F7" w:rsidP="00EE24F7">
      <w:r>
        <w:t xml:space="preserve">* Isaiah Trunk, </w:t>
      </w:r>
      <w:proofErr w:type="spellStart"/>
      <w:r w:rsidRPr="003B12D8">
        <w:rPr>
          <w:u w:val="single"/>
        </w:rPr>
        <w:t>Judenrat</w:t>
      </w:r>
      <w:proofErr w:type="spellEnd"/>
      <w:r w:rsidRPr="003B12D8">
        <w:rPr>
          <w:u w:val="single"/>
        </w:rPr>
        <w:t xml:space="preserve">: The Jewish Councils in </w:t>
      </w:r>
      <w:r>
        <w:rPr>
          <w:u w:val="single"/>
        </w:rPr>
        <w:t xml:space="preserve">Eastern </w:t>
      </w:r>
      <w:r w:rsidRPr="003B12D8">
        <w:rPr>
          <w:u w:val="single"/>
        </w:rPr>
        <w:t>Europe under Nazi Occupation</w:t>
      </w:r>
      <w:r>
        <w:t>, xxxvii-xlvii, 368-450.</w:t>
      </w:r>
    </w:p>
    <w:p w:rsidR="00EE24F7" w:rsidRDefault="00EE24F7" w:rsidP="00EE24F7"/>
    <w:p w:rsidR="00EE24F7" w:rsidRDefault="00EE24F7" w:rsidP="00EE24F7"/>
    <w:p w:rsidR="00EE24F7" w:rsidRDefault="00E5453F" w:rsidP="00EE24F7">
      <w:pPr>
        <w:pStyle w:val="Heading1"/>
      </w:pPr>
      <w:r>
        <w:t>Week 12</w:t>
      </w:r>
      <w:r w:rsidR="0052048E">
        <w:t xml:space="preserve"> (Nov. 7-9</w:t>
      </w:r>
      <w:r w:rsidR="00EE24F7">
        <w:t>): Dilemmas of Jewish Politics during the Holocaust – Forms of Resistance</w:t>
      </w:r>
    </w:p>
    <w:p w:rsidR="0088219F" w:rsidRPr="0088219F" w:rsidRDefault="0088219F" w:rsidP="00EE24F7">
      <w:pPr>
        <w:rPr>
          <w:b/>
          <w:bCs/>
        </w:rPr>
      </w:pPr>
      <w:r w:rsidRPr="0088219F">
        <w:rPr>
          <w:b/>
          <w:bCs/>
        </w:rPr>
        <w:t>Term paper is due on Monday, Nov. 7</w:t>
      </w:r>
    </w:p>
    <w:p w:rsidR="00EE24F7" w:rsidRDefault="00EE24F7" w:rsidP="00EE24F7">
      <w:r>
        <w:t xml:space="preserve"># Jewish Fighting Organization, "Call to Resistance" (January 1943) and Mordecai </w:t>
      </w:r>
      <w:proofErr w:type="spellStart"/>
      <w:r>
        <w:t>Anielewicz's</w:t>
      </w:r>
      <w:proofErr w:type="spellEnd"/>
      <w:r>
        <w:t xml:space="preserve"> Last Communication as Ghetto Revolt Commander (April 1943), Mendes-</w:t>
      </w:r>
      <w:proofErr w:type="spellStart"/>
      <w:r>
        <w:t>Flohr</w:t>
      </w:r>
      <w:proofErr w:type="spellEnd"/>
      <w:r>
        <w:t xml:space="preserve"> and </w:t>
      </w:r>
      <w:proofErr w:type="spellStart"/>
      <w:r>
        <w:t>Reinharz</w:t>
      </w:r>
      <w:proofErr w:type="spellEnd"/>
      <w:r>
        <w:t xml:space="preserve"> (eds.), </w:t>
      </w:r>
      <w:proofErr w:type="gramStart"/>
      <w:r>
        <w:rPr>
          <w:u w:val="single"/>
        </w:rPr>
        <w:t>The</w:t>
      </w:r>
      <w:proofErr w:type="gramEnd"/>
      <w:r>
        <w:rPr>
          <w:u w:val="single"/>
        </w:rPr>
        <w:t xml:space="preserve"> Jew in the Modern World</w:t>
      </w:r>
      <w:r>
        <w:t>, 673-676.</w:t>
      </w:r>
    </w:p>
    <w:p w:rsidR="00EE24F7" w:rsidRDefault="00EE24F7" w:rsidP="00EE24F7"/>
    <w:p w:rsidR="00EE24F7" w:rsidRDefault="00EE24F7" w:rsidP="00EE24F7">
      <w:r>
        <w:t xml:space="preserve">* Trunk, </w:t>
      </w:r>
      <w:proofErr w:type="spellStart"/>
      <w:r w:rsidRPr="003B12D8">
        <w:rPr>
          <w:u w:val="single"/>
        </w:rPr>
        <w:t>Judenrat</w:t>
      </w:r>
      <w:proofErr w:type="spellEnd"/>
      <w:r>
        <w:t>, 528-547</w:t>
      </w:r>
    </w:p>
    <w:p w:rsidR="00EE24F7" w:rsidRDefault="00EE24F7" w:rsidP="00EE24F7"/>
    <w:p w:rsidR="00EE24F7" w:rsidRDefault="00EE24F7" w:rsidP="00EE24F7"/>
    <w:p w:rsidR="00EE24F7" w:rsidRDefault="00E5453F" w:rsidP="00EE24F7">
      <w:pPr>
        <w:rPr>
          <w:b/>
          <w:bCs/>
        </w:rPr>
      </w:pPr>
      <w:r>
        <w:rPr>
          <w:b/>
          <w:bCs/>
        </w:rPr>
        <w:t>Week 13</w:t>
      </w:r>
      <w:r w:rsidR="0052048E">
        <w:rPr>
          <w:b/>
          <w:bCs/>
        </w:rPr>
        <w:t xml:space="preserve"> (Nov. 14-16</w:t>
      </w:r>
      <w:r w:rsidR="00EE24F7">
        <w:rPr>
          <w:b/>
          <w:bCs/>
        </w:rPr>
        <w:t xml:space="preserve">): The </w:t>
      </w:r>
      <w:proofErr w:type="spellStart"/>
      <w:r w:rsidR="00EE24F7">
        <w:rPr>
          <w:b/>
          <w:bCs/>
          <w:i/>
          <w:iCs/>
        </w:rPr>
        <w:t>Yishuv</w:t>
      </w:r>
      <w:proofErr w:type="spellEnd"/>
      <w:r w:rsidR="00EE24F7">
        <w:rPr>
          <w:b/>
          <w:bCs/>
        </w:rPr>
        <w:t xml:space="preserve"> Faces the Holocaust</w:t>
      </w:r>
    </w:p>
    <w:p w:rsidR="00EE24F7" w:rsidRDefault="00EE24F7" w:rsidP="00EE24F7">
      <w:pPr>
        <w:pStyle w:val="Header"/>
        <w:tabs>
          <w:tab w:val="clear" w:pos="4320"/>
          <w:tab w:val="clear" w:pos="8640"/>
        </w:tabs>
      </w:pPr>
      <w:proofErr w:type="gramStart"/>
      <w:r>
        <w:t xml:space="preserve"># Hannah </w:t>
      </w:r>
      <w:proofErr w:type="spellStart"/>
      <w:r>
        <w:t>Senesh</w:t>
      </w:r>
      <w:proofErr w:type="spellEnd"/>
      <w:r>
        <w:t xml:space="preserve">, </w:t>
      </w:r>
      <w:r w:rsidRPr="00F16464">
        <w:rPr>
          <w:u w:val="single"/>
        </w:rPr>
        <w:t>Her Life and Diary</w:t>
      </w:r>
      <w:r>
        <w:t xml:space="preserve"> (excerpt).</w:t>
      </w:r>
      <w:proofErr w:type="gramEnd"/>
    </w:p>
    <w:p w:rsidR="00EE24F7" w:rsidRDefault="00EE24F7" w:rsidP="002E0AEB">
      <w:r>
        <w:t xml:space="preserve"># </w:t>
      </w:r>
      <w:proofErr w:type="spellStart"/>
      <w:r>
        <w:t>Hanoch</w:t>
      </w:r>
      <w:proofErr w:type="spellEnd"/>
      <w:r>
        <w:t xml:space="preserve"> </w:t>
      </w:r>
      <w:proofErr w:type="spellStart"/>
      <w:r>
        <w:t>Bartov</w:t>
      </w:r>
      <w:proofErr w:type="spellEnd"/>
      <w:r>
        <w:t xml:space="preserve">, </w:t>
      </w:r>
      <w:r>
        <w:rPr>
          <w:u w:val="single"/>
        </w:rPr>
        <w:t>The Brigade</w:t>
      </w:r>
      <w:r w:rsidR="002E0AEB">
        <w:t>, 158-162</w:t>
      </w:r>
      <w:r>
        <w:t>.</w:t>
      </w:r>
    </w:p>
    <w:p w:rsidR="00EE24F7" w:rsidRDefault="00EE24F7" w:rsidP="00D22255">
      <w:proofErr w:type="gramStart"/>
      <w:r>
        <w:t xml:space="preserve"># Yitzhak </w:t>
      </w:r>
      <w:proofErr w:type="spellStart"/>
      <w:r>
        <w:t>Sadeh</w:t>
      </w:r>
      <w:proofErr w:type="spellEnd"/>
      <w:r>
        <w:t xml:space="preserve">, “My Sister on the Beach”, in </w:t>
      </w:r>
      <w:proofErr w:type="spellStart"/>
      <w:r w:rsidR="00D22255">
        <w:t>Ronit</w:t>
      </w:r>
      <w:proofErr w:type="spellEnd"/>
      <w:r w:rsidR="00D22255">
        <w:t xml:space="preserve"> </w:t>
      </w:r>
      <w:proofErr w:type="spellStart"/>
      <w:r w:rsidR="00D22255">
        <w:t>Lentin</w:t>
      </w:r>
      <w:proofErr w:type="spellEnd"/>
      <w:r w:rsidR="00D22255">
        <w:t xml:space="preserve">, </w:t>
      </w:r>
      <w:r w:rsidR="00D22255" w:rsidRPr="00D22255">
        <w:rPr>
          <w:u w:val="single"/>
        </w:rPr>
        <w:t xml:space="preserve">Israel and the Daughters of the </w:t>
      </w:r>
      <w:proofErr w:type="spellStart"/>
      <w:r w:rsidR="00D22255" w:rsidRPr="00D22255">
        <w:rPr>
          <w:u w:val="single"/>
        </w:rPr>
        <w:t>Shoah</w:t>
      </w:r>
      <w:proofErr w:type="spellEnd"/>
      <w:r w:rsidR="00D22255">
        <w:t>, 207.</w:t>
      </w:r>
      <w:proofErr w:type="gramEnd"/>
    </w:p>
    <w:p w:rsidR="00E51C89" w:rsidRDefault="00E51C89" w:rsidP="00E51C89">
      <w:pPr>
        <w:pStyle w:val="Header"/>
        <w:tabs>
          <w:tab w:val="clear" w:pos="4320"/>
          <w:tab w:val="clear" w:pos="8640"/>
        </w:tabs>
      </w:pPr>
    </w:p>
    <w:p w:rsidR="00E51C89" w:rsidRPr="00AC7C09" w:rsidRDefault="00E51C89" w:rsidP="00E51C89">
      <w:pPr>
        <w:pStyle w:val="Header"/>
        <w:tabs>
          <w:tab w:val="clear" w:pos="4320"/>
          <w:tab w:val="clear" w:pos="8640"/>
        </w:tabs>
      </w:pPr>
      <w:proofErr w:type="spellStart"/>
      <w:r>
        <w:t>Shapira</w:t>
      </w:r>
      <w:proofErr w:type="spellEnd"/>
      <w:r>
        <w:t xml:space="preserve">, </w:t>
      </w:r>
      <w:r>
        <w:rPr>
          <w:u w:val="single"/>
        </w:rPr>
        <w:t>Land and Power</w:t>
      </w:r>
      <w:r>
        <w:t>, 319-342.</w:t>
      </w:r>
    </w:p>
    <w:p w:rsidR="00E51C89" w:rsidRDefault="00E51C89" w:rsidP="00EE24F7">
      <w:pPr>
        <w:pStyle w:val="Header"/>
        <w:tabs>
          <w:tab w:val="clear" w:pos="4320"/>
          <w:tab w:val="clear" w:pos="8640"/>
        </w:tabs>
      </w:pPr>
    </w:p>
    <w:p w:rsidR="00EE24F7" w:rsidRDefault="00E51C89" w:rsidP="00EE24F7">
      <w:pPr>
        <w:pStyle w:val="Header"/>
        <w:tabs>
          <w:tab w:val="clear" w:pos="4320"/>
          <w:tab w:val="clear" w:pos="8640"/>
        </w:tabs>
      </w:pPr>
      <w:r>
        <w:t xml:space="preserve">* </w:t>
      </w:r>
      <w:r w:rsidR="00EE24F7">
        <w:t xml:space="preserve">Dina </w:t>
      </w:r>
      <w:proofErr w:type="spellStart"/>
      <w:r w:rsidR="00EE24F7">
        <w:t>Porat</w:t>
      </w:r>
      <w:proofErr w:type="spellEnd"/>
      <w:r w:rsidR="00EE24F7">
        <w:t xml:space="preserve">, </w:t>
      </w:r>
      <w:r w:rsidR="00EE24F7">
        <w:rPr>
          <w:u w:val="single"/>
        </w:rPr>
        <w:t>The Blue and Yellow Star of David</w:t>
      </w:r>
      <w:r w:rsidR="00F0731A">
        <w:t>, 1-2, 49</w:t>
      </w:r>
      <w:r w:rsidR="00EE24F7">
        <w:t>-93, 212-228, 239-262.</w:t>
      </w:r>
    </w:p>
    <w:p w:rsidR="00EE24F7" w:rsidRDefault="00EE24F7" w:rsidP="00EE24F7"/>
    <w:p w:rsidR="00EE24F7" w:rsidRDefault="00EE24F7" w:rsidP="00EE24F7"/>
    <w:p w:rsidR="00EE24F7" w:rsidRDefault="00E5453F" w:rsidP="003759E8">
      <w:pPr>
        <w:pStyle w:val="Heading1"/>
      </w:pPr>
      <w:r>
        <w:t>Week 14</w:t>
      </w:r>
      <w:r w:rsidR="00635DAB">
        <w:t xml:space="preserve"> (Nov. 21</w:t>
      </w:r>
      <w:r w:rsidR="00EE24F7">
        <w:t>): American Jewry during the Holocaust</w:t>
      </w:r>
    </w:p>
    <w:p w:rsidR="003759E8" w:rsidRPr="003759E8" w:rsidRDefault="003759E8" w:rsidP="00EE24F7">
      <w:pPr>
        <w:pStyle w:val="Heading1"/>
      </w:pPr>
      <w:r w:rsidRPr="003759E8">
        <w:t>Class is cancelled on Nov. 23 (Thanksgiving Day)</w:t>
      </w:r>
    </w:p>
    <w:p w:rsidR="00EE24F7" w:rsidRPr="00AF1F3A" w:rsidRDefault="00EE24F7" w:rsidP="00EE24F7">
      <w:pPr>
        <w:pStyle w:val="Heading1"/>
        <w:rPr>
          <w:b w:val="0"/>
          <w:bCs w:val="0"/>
        </w:rPr>
      </w:pPr>
      <w:r>
        <w:rPr>
          <w:b w:val="0"/>
          <w:bCs w:val="0"/>
        </w:rPr>
        <w:t xml:space="preserve">Rabbi Abba Hillel Silver, “Toward American Jewish Unity” and “American Jewry in War and After”, in </w:t>
      </w:r>
      <w:r w:rsidRPr="00AF1F3A">
        <w:rPr>
          <w:b w:val="0"/>
        </w:rPr>
        <w:t xml:space="preserve">Hertzberg, </w:t>
      </w:r>
      <w:proofErr w:type="gramStart"/>
      <w:r w:rsidRPr="00AF1F3A">
        <w:rPr>
          <w:b w:val="0"/>
          <w:u w:val="single"/>
        </w:rPr>
        <w:t>The</w:t>
      </w:r>
      <w:proofErr w:type="gramEnd"/>
      <w:r w:rsidRPr="00AF1F3A">
        <w:rPr>
          <w:b w:val="0"/>
          <w:u w:val="single"/>
        </w:rPr>
        <w:t xml:space="preserve"> Zionist Idea</w:t>
      </w:r>
      <w:r w:rsidRPr="00AF1F3A">
        <w:rPr>
          <w:b w:val="0"/>
        </w:rPr>
        <w:t>,</w:t>
      </w:r>
      <w:r>
        <w:rPr>
          <w:b w:val="0"/>
        </w:rPr>
        <w:t xml:space="preserve"> 591-602.</w:t>
      </w:r>
    </w:p>
    <w:p w:rsidR="00EE24F7" w:rsidRDefault="00EE24F7" w:rsidP="00EE24F7"/>
    <w:p w:rsidR="00EE24F7" w:rsidRDefault="00EE24F7" w:rsidP="00EE24F7">
      <w:pPr>
        <w:pStyle w:val="Heading1"/>
        <w:rPr>
          <w:b w:val="0"/>
          <w:bCs w:val="0"/>
        </w:rPr>
      </w:pPr>
      <w:r w:rsidRPr="00A75BBA">
        <w:rPr>
          <w:b w:val="0"/>
          <w:bCs w:val="0"/>
        </w:rPr>
        <w:t xml:space="preserve"># </w:t>
      </w:r>
      <w:proofErr w:type="gramStart"/>
      <w:r w:rsidRPr="00A75BBA">
        <w:rPr>
          <w:b w:val="0"/>
          <w:bCs w:val="0"/>
        </w:rPr>
        <w:t>The</w:t>
      </w:r>
      <w:proofErr w:type="gramEnd"/>
      <w:r w:rsidRPr="00A75BBA">
        <w:rPr>
          <w:b w:val="0"/>
          <w:bCs w:val="0"/>
        </w:rPr>
        <w:t xml:space="preserve"> American Jewish Conference (January 1943), </w:t>
      </w:r>
      <w:r w:rsidRPr="0019536A">
        <w:rPr>
          <w:b w:val="0"/>
          <w:bCs w:val="0"/>
        </w:rPr>
        <w:t>Mendes-</w:t>
      </w:r>
      <w:proofErr w:type="spellStart"/>
      <w:r w:rsidRPr="0019536A">
        <w:rPr>
          <w:b w:val="0"/>
          <w:bCs w:val="0"/>
        </w:rPr>
        <w:t>Flohr</w:t>
      </w:r>
      <w:proofErr w:type="spellEnd"/>
      <w:r w:rsidRPr="0019536A">
        <w:rPr>
          <w:b w:val="0"/>
          <w:bCs w:val="0"/>
        </w:rPr>
        <w:t xml:space="preserve"> and </w:t>
      </w:r>
      <w:proofErr w:type="spellStart"/>
      <w:r w:rsidRPr="0019536A">
        <w:rPr>
          <w:b w:val="0"/>
          <w:bCs w:val="0"/>
        </w:rPr>
        <w:t>Reinharz</w:t>
      </w:r>
      <w:proofErr w:type="spellEnd"/>
      <w:r w:rsidRPr="0019536A">
        <w:rPr>
          <w:b w:val="0"/>
          <w:bCs w:val="0"/>
        </w:rPr>
        <w:t xml:space="preserve"> (eds.), </w:t>
      </w:r>
      <w:r w:rsidRPr="0019536A">
        <w:rPr>
          <w:b w:val="0"/>
          <w:bCs w:val="0"/>
          <w:u w:val="single"/>
        </w:rPr>
        <w:t>The Jew in the Modern World</w:t>
      </w:r>
      <w:r w:rsidRPr="0019536A">
        <w:rPr>
          <w:b w:val="0"/>
          <w:bCs w:val="0"/>
        </w:rPr>
        <w:t>,</w:t>
      </w:r>
      <w:r>
        <w:rPr>
          <w:b w:val="0"/>
          <w:bCs w:val="0"/>
        </w:rPr>
        <w:t xml:space="preserve"> 519-522.</w:t>
      </w:r>
    </w:p>
    <w:p w:rsidR="00EE24F7" w:rsidRPr="00A75BBA" w:rsidRDefault="00EE24F7" w:rsidP="00735DC9">
      <w:r w:rsidRPr="00A75BBA">
        <w:t xml:space="preserve"># </w:t>
      </w:r>
      <w:proofErr w:type="gramStart"/>
      <w:r w:rsidRPr="00A75BBA">
        <w:t>The</w:t>
      </w:r>
      <w:proofErr w:type="gramEnd"/>
      <w:r w:rsidRPr="00A75BBA">
        <w:t xml:space="preserve"> American Council for Judaism</w:t>
      </w:r>
      <w:r w:rsidRPr="0019536A">
        <w:rPr>
          <w:b/>
          <w:bCs/>
        </w:rPr>
        <w:t xml:space="preserve">, </w:t>
      </w:r>
      <w:r w:rsidRPr="00A75BBA">
        <w:t>"A Statement of Policy" (February 1944),</w:t>
      </w:r>
      <w:r>
        <w:t xml:space="preserve"> </w:t>
      </w:r>
      <w:r w:rsidR="00735DC9">
        <w:t>Mendes-</w:t>
      </w:r>
      <w:proofErr w:type="spellStart"/>
      <w:r w:rsidR="00735DC9">
        <w:t>Flohr</w:t>
      </w:r>
      <w:proofErr w:type="spellEnd"/>
      <w:r w:rsidR="00735DC9">
        <w:t xml:space="preserve"> and </w:t>
      </w:r>
      <w:proofErr w:type="spellStart"/>
      <w:r w:rsidR="00735DC9">
        <w:t>Reinharz</w:t>
      </w:r>
      <w:proofErr w:type="spellEnd"/>
      <w:r w:rsidR="00735DC9">
        <w:t xml:space="preserve"> (eds.), </w:t>
      </w:r>
      <w:r w:rsidR="00735DC9">
        <w:rPr>
          <w:u w:val="single"/>
        </w:rPr>
        <w:t>The Jew in the Modern World</w:t>
      </w:r>
      <w:r w:rsidR="00735DC9">
        <w:t xml:space="preserve">, </w:t>
      </w:r>
      <w:r>
        <w:t>523-524.</w:t>
      </w:r>
      <w:r w:rsidRPr="00A75BBA">
        <w:t xml:space="preserve"> </w:t>
      </w:r>
    </w:p>
    <w:p w:rsidR="00EE24F7" w:rsidRDefault="00EE24F7" w:rsidP="00EE24F7"/>
    <w:p w:rsidR="00EE24F7" w:rsidRDefault="00EE24F7" w:rsidP="00EE24F7">
      <w:pPr>
        <w:pStyle w:val="Heading1"/>
        <w:rPr>
          <w:b w:val="0"/>
          <w:bCs w:val="0"/>
        </w:rPr>
      </w:pPr>
      <w:r>
        <w:rPr>
          <w:b w:val="0"/>
          <w:bCs w:val="0"/>
        </w:rPr>
        <w:t xml:space="preserve">* Henry L. Feingold, </w:t>
      </w:r>
      <w:r w:rsidRPr="00AD1CB2">
        <w:rPr>
          <w:b w:val="0"/>
          <w:bCs w:val="0"/>
          <w:u w:val="single"/>
        </w:rPr>
        <w:t xml:space="preserve">Bearing Witness: How </w:t>
      </w:r>
      <w:smartTag w:uri="urn:schemas-microsoft-com:office:smarttags" w:element="place">
        <w:smartTag w:uri="urn:schemas-microsoft-com:office:smarttags" w:element="country-region">
          <w:r w:rsidRPr="00AD1CB2">
            <w:rPr>
              <w:b w:val="0"/>
              <w:bCs w:val="0"/>
              <w:u w:val="single"/>
            </w:rPr>
            <w:t>America</w:t>
          </w:r>
        </w:smartTag>
      </w:smartTag>
      <w:r w:rsidRPr="00AD1CB2">
        <w:rPr>
          <w:b w:val="0"/>
          <w:bCs w:val="0"/>
          <w:u w:val="single"/>
        </w:rPr>
        <w:t xml:space="preserve"> and Its Jews Responded to the Holocaust</w:t>
      </w:r>
      <w:r>
        <w:rPr>
          <w:b w:val="0"/>
          <w:bCs w:val="0"/>
        </w:rPr>
        <w:t>, 205-276.</w:t>
      </w:r>
    </w:p>
    <w:p w:rsidR="00EE24F7" w:rsidRDefault="00EE24F7" w:rsidP="00EE24F7"/>
    <w:p w:rsidR="003759E8" w:rsidRDefault="003759E8" w:rsidP="00EE24F7"/>
    <w:p w:rsidR="00EE24F7" w:rsidRDefault="00E5453F" w:rsidP="00EE24F7">
      <w:pPr>
        <w:pStyle w:val="Heading1"/>
      </w:pPr>
      <w:r>
        <w:t>Week 15</w:t>
      </w:r>
      <w:r w:rsidR="00EE24F7">
        <w:t xml:space="preserve"> </w:t>
      </w:r>
      <w:r w:rsidR="002214C7">
        <w:t>(Nov. 28-30</w:t>
      </w:r>
      <w:r w:rsidR="00EE24F7">
        <w:t>): A Jewish State – The Foundation of the State of Israel</w:t>
      </w:r>
    </w:p>
    <w:p w:rsidR="00EE24F7" w:rsidRPr="009053A9" w:rsidRDefault="00EE24F7" w:rsidP="00EE24F7"/>
    <w:p w:rsidR="00EE24F7" w:rsidRDefault="00EE24F7" w:rsidP="00EE24F7">
      <w:r>
        <w:t># "Proclamation of the State of Israel" (May 14, 1948), Mendes-</w:t>
      </w:r>
      <w:proofErr w:type="spellStart"/>
      <w:r>
        <w:t>Flohr</w:t>
      </w:r>
      <w:proofErr w:type="spellEnd"/>
      <w:r>
        <w:t xml:space="preserve"> and </w:t>
      </w:r>
      <w:proofErr w:type="spellStart"/>
      <w:r>
        <w:t>Reinharz</w:t>
      </w:r>
      <w:proofErr w:type="spellEnd"/>
      <w:r>
        <w:t xml:space="preserve"> (eds.), </w:t>
      </w:r>
      <w:proofErr w:type="gramStart"/>
      <w:r>
        <w:rPr>
          <w:u w:val="single"/>
        </w:rPr>
        <w:t>The</w:t>
      </w:r>
      <w:proofErr w:type="gramEnd"/>
      <w:r>
        <w:rPr>
          <w:u w:val="single"/>
        </w:rPr>
        <w:t xml:space="preserve"> Jew in the Modern World</w:t>
      </w:r>
      <w:r>
        <w:t>, 629-630.</w:t>
      </w:r>
    </w:p>
    <w:p w:rsidR="00EE24F7" w:rsidRDefault="00EE24F7" w:rsidP="00735DC9">
      <w:r>
        <w:lastRenderedPageBreak/>
        <w:t xml:space="preserve">David Ben-Gurion, "Address to the Knesset on the Law of Return" (July 3, 1950) and "The Law of Return" (July 5, 1950), </w:t>
      </w:r>
      <w:r w:rsidR="00735DC9">
        <w:t>Mendes-</w:t>
      </w:r>
      <w:proofErr w:type="spellStart"/>
      <w:r w:rsidR="00735DC9">
        <w:t>Flohr</w:t>
      </w:r>
      <w:proofErr w:type="spellEnd"/>
      <w:r w:rsidR="00735DC9">
        <w:t xml:space="preserve"> and </w:t>
      </w:r>
      <w:proofErr w:type="spellStart"/>
      <w:r w:rsidR="00735DC9">
        <w:t>Reinharz</w:t>
      </w:r>
      <w:proofErr w:type="spellEnd"/>
      <w:r w:rsidR="00735DC9">
        <w:t xml:space="preserve"> (eds.), </w:t>
      </w:r>
      <w:proofErr w:type="gramStart"/>
      <w:r w:rsidR="00735DC9">
        <w:rPr>
          <w:u w:val="single"/>
        </w:rPr>
        <w:t>The</w:t>
      </w:r>
      <w:proofErr w:type="gramEnd"/>
      <w:r w:rsidR="00735DC9">
        <w:rPr>
          <w:u w:val="single"/>
        </w:rPr>
        <w:t xml:space="preserve"> Jew in the Modern World</w:t>
      </w:r>
      <w:r w:rsidR="00735DC9">
        <w:t xml:space="preserve">, </w:t>
      </w:r>
      <w:r>
        <w:t>631-633</w:t>
      </w:r>
      <w:r w:rsidR="00735DC9">
        <w:t>.</w:t>
      </w:r>
    </w:p>
    <w:p w:rsidR="00EE24F7" w:rsidRDefault="00EE24F7" w:rsidP="00EE24F7"/>
    <w:p w:rsidR="00EE24F7" w:rsidRDefault="00EE24F7" w:rsidP="00EE24F7">
      <w:proofErr w:type="spellStart"/>
      <w:r>
        <w:t>Shapira</w:t>
      </w:r>
      <w:proofErr w:type="spellEnd"/>
      <w:r>
        <w:t xml:space="preserve">, </w:t>
      </w:r>
      <w:r>
        <w:rPr>
          <w:u w:val="single"/>
        </w:rPr>
        <w:t>Land and Power</w:t>
      </w:r>
      <w:r>
        <w:t>, 277-319, 353-370.</w:t>
      </w:r>
    </w:p>
    <w:p w:rsidR="00EE24F7" w:rsidRDefault="00EE24F7" w:rsidP="00EE24F7"/>
    <w:p w:rsidR="00EE24F7" w:rsidRDefault="00EE24F7" w:rsidP="00EE24F7"/>
    <w:p w:rsidR="00EE24F7" w:rsidRPr="0056076E" w:rsidRDefault="00E5453F" w:rsidP="00EE24F7">
      <w:pPr>
        <w:rPr>
          <w:b/>
        </w:rPr>
      </w:pPr>
      <w:r>
        <w:rPr>
          <w:b/>
        </w:rPr>
        <w:t>Week 16</w:t>
      </w:r>
      <w:r w:rsidR="002214C7">
        <w:rPr>
          <w:b/>
        </w:rPr>
        <w:t xml:space="preserve"> (Dec. 5-7): The Creation of Israel – A Look from Abroad</w:t>
      </w:r>
    </w:p>
    <w:p w:rsidR="00EE24F7" w:rsidRDefault="00EE24F7" w:rsidP="00EE24F7"/>
    <w:p w:rsidR="002214C7" w:rsidRDefault="002214C7" w:rsidP="002214C7">
      <w:r>
        <w:t xml:space="preserve">Mordecai M. Kaplan, “The Future of the American Jew” (1948), </w:t>
      </w:r>
      <w:r w:rsidRPr="009053A9">
        <w:rPr>
          <w:bCs/>
        </w:rPr>
        <w:t xml:space="preserve">in </w:t>
      </w:r>
      <w:r w:rsidRPr="009053A9">
        <w:t xml:space="preserve">Hertzberg, </w:t>
      </w:r>
      <w:proofErr w:type="gramStart"/>
      <w:r w:rsidRPr="009053A9">
        <w:rPr>
          <w:u w:val="single"/>
        </w:rPr>
        <w:t>The</w:t>
      </w:r>
      <w:proofErr w:type="gramEnd"/>
      <w:r w:rsidRPr="009053A9">
        <w:rPr>
          <w:u w:val="single"/>
        </w:rPr>
        <w:t xml:space="preserve"> Zionist Idea</w:t>
      </w:r>
      <w:r w:rsidRPr="009053A9">
        <w:t>,</w:t>
      </w:r>
      <w:r>
        <w:t xml:space="preserve"> 535-542.</w:t>
      </w:r>
    </w:p>
    <w:p w:rsidR="002214C7" w:rsidRDefault="002214C7" w:rsidP="002214C7"/>
    <w:p w:rsidR="002214C7" w:rsidRPr="00A32440" w:rsidRDefault="002214C7" w:rsidP="002214C7">
      <w:r>
        <w:t xml:space="preserve">Mendelsohn, </w:t>
      </w:r>
      <w:r w:rsidRPr="00A53AF4">
        <w:rPr>
          <w:u w:val="single"/>
        </w:rPr>
        <w:t>On Modern Jewish Politics</w:t>
      </w:r>
      <w:r w:rsidR="005D11D8">
        <w:t>, 127-145</w:t>
      </w:r>
      <w:r>
        <w:t>.</w:t>
      </w:r>
    </w:p>
    <w:p w:rsidR="002214C7" w:rsidRDefault="002214C7" w:rsidP="002214C7"/>
    <w:p w:rsidR="002214C7" w:rsidRDefault="002214C7" w:rsidP="002214C7"/>
    <w:p w:rsidR="00431696" w:rsidRDefault="00431696" w:rsidP="002214C7"/>
    <w:p w:rsidR="00EE24F7" w:rsidRDefault="00EE24F7" w:rsidP="00EE24F7"/>
    <w:p w:rsidR="00E8264D" w:rsidRDefault="00E8264D" w:rsidP="00EE24F7"/>
    <w:p w:rsidR="002214C7" w:rsidRPr="00B1075F" w:rsidRDefault="00B1075F" w:rsidP="00EE24F7">
      <w:pPr>
        <w:rPr>
          <w:b/>
          <w:bCs/>
          <w:sz w:val="28"/>
          <w:szCs w:val="28"/>
        </w:rPr>
      </w:pPr>
      <w:r w:rsidRPr="00B1075F">
        <w:rPr>
          <w:b/>
          <w:bCs/>
          <w:sz w:val="28"/>
          <w:szCs w:val="28"/>
        </w:rPr>
        <w:t>Final Exam: Monday,</w:t>
      </w:r>
      <w:r>
        <w:rPr>
          <w:b/>
          <w:bCs/>
          <w:sz w:val="28"/>
          <w:szCs w:val="28"/>
        </w:rPr>
        <w:t xml:space="preserve"> December 12 @ 6:00PM, location TBA</w:t>
      </w:r>
    </w:p>
    <w:p w:rsidR="00B1075F" w:rsidRDefault="00B1075F" w:rsidP="00EE24F7"/>
    <w:p w:rsidR="00B1075F" w:rsidRDefault="00B1075F" w:rsidP="00B1075F">
      <w:r>
        <w:t>No early or late exams will be permitted.</w:t>
      </w:r>
    </w:p>
    <w:p w:rsidR="00B1075F" w:rsidRDefault="00B1075F" w:rsidP="00EE24F7"/>
    <w:p w:rsidR="00EE24F7" w:rsidRDefault="00EE24F7" w:rsidP="00EE24F7"/>
    <w:p w:rsidR="003E2B38" w:rsidRDefault="003E2B38"/>
    <w:sectPr w:rsidR="003E2B38" w:rsidSect="00973B12">
      <w:footerReference w:type="default" r:id="rId10"/>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595D" w:rsidRDefault="0028595D">
      <w:r>
        <w:separator/>
      </w:r>
    </w:p>
  </w:endnote>
  <w:endnote w:type="continuationSeparator" w:id="0">
    <w:p w:rsidR="0028595D" w:rsidRDefault="00285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426" w:rsidRDefault="00143BE0">
    <w:pPr>
      <w:pStyle w:val="Footer"/>
      <w:jc w:val="center"/>
    </w:pPr>
    <w:r>
      <w:fldChar w:fldCharType="begin"/>
    </w:r>
    <w:r>
      <w:instrText xml:space="preserve"> PAGE   \* MERGEFORMAT </w:instrText>
    </w:r>
    <w:r>
      <w:fldChar w:fldCharType="separate"/>
    </w:r>
    <w:r w:rsidR="0027214D">
      <w:rPr>
        <w:noProof/>
      </w:rPr>
      <w:t>2</w:t>
    </w:r>
    <w:r>
      <w:fldChar w:fldCharType="end"/>
    </w:r>
  </w:p>
  <w:p w:rsidR="00A10426" w:rsidRDefault="002859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595D" w:rsidRDefault="0028595D">
      <w:r>
        <w:separator/>
      </w:r>
    </w:p>
  </w:footnote>
  <w:footnote w:type="continuationSeparator" w:id="0">
    <w:p w:rsidR="0028595D" w:rsidRDefault="002859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0008E2"/>
    <w:multiLevelType w:val="hybridMultilevel"/>
    <w:tmpl w:val="3D9E4656"/>
    <w:lvl w:ilvl="0" w:tplc="FD624C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C25"/>
    <w:rsid w:val="000601B3"/>
    <w:rsid w:val="0006517F"/>
    <w:rsid w:val="00086310"/>
    <w:rsid w:val="000C4B5F"/>
    <w:rsid w:val="00143BE0"/>
    <w:rsid w:val="00152D09"/>
    <w:rsid w:val="001A70C5"/>
    <w:rsid w:val="002214C7"/>
    <w:rsid w:val="0027214D"/>
    <w:rsid w:val="0028595D"/>
    <w:rsid w:val="002C753F"/>
    <w:rsid w:val="002E0AEB"/>
    <w:rsid w:val="002E47FD"/>
    <w:rsid w:val="00373134"/>
    <w:rsid w:val="003759E8"/>
    <w:rsid w:val="003E2B38"/>
    <w:rsid w:val="003E54A5"/>
    <w:rsid w:val="004256DC"/>
    <w:rsid w:val="00431696"/>
    <w:rsid w:val="00435620"/>
    <w:rsid w:val="00444CD7"/>
    <w:rsid w:val="005079BA"/>
    <w:rsid w:val="0052048E"/>
    <w:rsid w:val="0052381D"/>
    <w:rsid w:val="005C29E5"/>
    <w:rsid w:val="005D11D8"/>
    <w:rsid w:val="00635DAB"/>
    <w:rsid w:val="00641259"/>
    <w:rsid w:val="00642660"/>
    <w:rsid w:val="006477CB"/>
    <w:rsid w:val="00687416"/>
    <w:rsid w:val="00697C3D"/>
    <w:rsid w:val="006B6344"/>
    <w:rsid w:val="00735DC9"/>
    <w:rsid w:val="007E3C72"/>
    <w:rsid w:val="0088219F"/>
    <w:rsid w:val="00897DFA"/>
    <w:rsid w:val="008E0FAF"/>
    <w:rsid w:val="0094441D"/>
    <w:rsid w:val="0099365C"/>
    <w:rsid w:val="009A10F5"/>
    <w:rsid w:val="009F7502"/>
    <w:rsid w:val="00A57767"/>
    <w:rsid w:val="00A82469"/>
    <w:rsid w:val="00AF0A42"/>
    <w:rsid w:val="00B1075F"/>
    <w:rsid w:val="00BE7570"/>
    <w:rsid w:val="00C00C25"/>
    <w:rsid w:val="00C34417"/>
    <w:rsid w:val="00D22255"/>
    <w:rsid w:val="00D90534"/>
    <w:rsid w:val="00DA69FF"/>
    <w:rsid w:val="00DB7C2A"/>
    <w:rsid w:val="00DC7D10"/>
    <w:rsid w:val="00DC7D4B"/>
    <w:rsid w:val="00E33F9E"/>
    <w:rsid w:val="00E51C89"/>
    <w:rsid w:val="00E5453F"/>
    <w:rsid w:val="00E77E0B"/>
    <w:rsid w:val="00E8264D"/>
    <w:rsid w:val="00E9098D"/>
    <w:rsid w:val="00EE24F7"/>
    <w:rsid w:val="00F0731A"/>
    <w:rsid w:val="00F773C6"/>
    <w:rsid w:val="00FD7E43"/>
    <w:rsid w:val="00FE6C2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4"/>
        <w:szCs w:val="24"/>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4F7"/>
    <w:pPr>
      <w:spacing w:after="0" w:line="240" w:lineRule="auto"/>
    </w:pPr>
    <w:rPr>
      <w:rFonts w:eastAsia="Times New Roman"/>
      <w:lang w:bidi="ar-SA"/>
    </w:rPr>
  </w:style>
  <w:style w:type="paragraph" w:styleId="Heading1">
    <w:name w:val="heading 1"/>
    <w:basedOn w:val="Normal"/>
    <w:next w:val="Normal"/>
    <w:link w:val="Heading1Char"/>
    <w:qFormat/>
    <w:rsid w:val="00EE24F7"/>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E24F7"/>
    <w:rPr>
      <w:rFonts w:eastAsia="Times New Roman"/>
      <w:b/>
      <w:bCs/>
      <w:lang w:bidi="ar-SA"/>
    </w:rPr>
  </w:style>
  <w:style w:type="paragraph" w:styleId="Title">
    <w:name w:val="Title"/>
    <w:basedOn w:val="Normal"/>
    <w:link w:val="TitleChar"/>
    <w:qFormat/>
    <w:rsid w:val="00EE24F7"/>
    <w:pPr>
      <w:jc w:val="center"/>
    </w:pPr>
    <w:rPr>
      <w:sz w:val="28"/>
    </w:rPr>
  </w:style>
  <w:style w:type="character" w:customStyle="1" w:styleId="TitleChar">
    <w:name w:val="Title Char"/>
    <w:basedOn w:val="DefaultParagraphFont"/>
    <w:link w:val="Title"/>
    <w:rsid w:val="00EE24F7"/>
    <w:rPr>
      <w:rFonts w:eastAsia="Times New Roman"/>
      <w:sz w:val="28"/>
      <w:lang w:bidi="ar-SA"/>
    </w:rPr>
  </w:style>
  <w:style w:type="paragraph" w:styleId="Header">
    <w:name w:val="header"/>
    <w:basedOn w:val="Normal"/>
    <w:link w:val="HeaderChar"/>
    <w:rsid w:val="00EE24F7"/>
    <w:pPr>
      <w:tabs>
        <w:tab w:val="center" w:pos="4320"/>
        <w:tab w:val="right" w:pos="8640"/>
      </w:tabs>
    </w:pPr>
  </w:style>
  <w:style w:type="character" w:customStyle="1" w:styleId="HeaderChar">
    <w:name w:val="Header Char"/>
    <w:basedOn w:val="DefaultParagraphFont"/>
    <w:link w:val="Header"/>
    <w:rsid w:val="00EE24F7"/>
    <w:rPr>
      <w:rFonts w:eastAsia="Times New Roman"/>
      <w:lang w:bidi="ar-SA"/>
    </w:rPr>
  </w:style>
  <w:style w:type="paragraph" w:styleId="BodyText">
    <w:name w:val="Body Text"/>
    <w:basedOn w:val="Normal"/>
    <w:link w:val="BodyTextChar"/>
    <w:rsid w:val="00EE24F7"/>
    <w:rPr>
      <w:b/>
      <w:bCs/>
    </w:rPr>
  </w:style>
  <w:style w:type="character" w:customStyle="1" w:styleId="BodyTextChar">
    <w:name w:val="Body Text Char"/>
    <w:basedOn w:val="DefaultParagraphFont"/>
    <w:link w:val="BodyText"/>
    <w:rsid w:val="00EE24F7"/>
    <w:rPr>
      <w:rFonts w:eastAsia="Times New Roman"/>
      <w:b/>
      <w:bCs/>
      <w:lang w:bidi="ar-SA"/>
    </w:rPr>
  </w:style>
  <w:style w:type="character" w:styleId="Hyperlink">
    <w:name w:val="Hyperlink"/>
    <w:basedOn w:val="DefaultParagraphFont"/>
    <w:rsid w:val="00EE24F7"/>
    <w:rPr>
      <w:color w:val="0000FF"/>
      <w:u w:val="single"/>
    </w:rPr>
  </w:style>
  <w:style w:type="paragraph" w:styleId="Footer">
    <w:name w:val="footer"/>
    <w:basedOn w:val="Normal"/>
    <w:link w:val="FooterChar"/>
    <w:uiPriority w:val="99"/>
    <w:rsid w:val="00EE24F7"/>
    <w:pPr>
      <w:tabs>
        <w:tab w:val="center" w:pos="4680"/>
        <w:tab w:val="right" w:pos="9360"/>
      </w:tabs>
    </w:pPr>
  </w:style>
  <w:style w:type="character" w:customStyle="1" w:styleId="FooterChar">
    <w:name w:val="Footer Char"/>
    <w:basedOn w:val="DefaultParagraphFont"/>
    <w:link w:val="Footer"/>
    <w:uiPriority w:val="99"/>
    <w:rsid w:val="00EE24F7"/>
    <w:rPr>
      <w:rFonts w:eastAsia="Times New Roman"/>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4"/>
        <w:szCs w:val="24"/>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4F7"/>
    <w:pPr>
      <w:spacing w:after="0" w:line="240" w:lineRule="auto"/>
    </w:pPr>
    <w:rPr>
      <w:rFonts w:eastAsia="Times New Roman"/>
      <w:lang w:bidi="ar-SA"/>
    </w:rPr>
  </w:style>
  <w:style w:type="paragraph" w:styleId="Heading1">
    <w:name w:val="heading 1"/>
    <w:basedOn w:val="Normal"/>
    <w:next w:val="Normal"/>
    <w:link w:val="Heading1Char"/>
    <w:qFormat/>
    <w:rsid w:val="00EE24F7"/>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E24F7"/>
    <w:rPr>
      <w:rFonts w:eastAsia="Times New Roman"/>
      <w:b/>
      <w:bCs/>
      <w:lang w:bidi="ar-SA"/>
    </w:rPr>
  </w:style>
  <w:style w:type="paragraph" w:styleId="Title">
    <w:name w:val="Title"/>
    <w:basedOn w:val="Normal"/>
    <w:link w:val="TitleChar"/>
    <w:qFormat/>
    <w:rsid w:val="00EE24F7"/>
    <w:pPr>
      <w:jc w:val="center"/>
    </w:pPr>
    <w:rPr>
      <w:sz w:val="28"/>
    </w:rPr>
  </w:style>
  <w:style w:type="character" w:customStyle="1" w:styleId="TitleChar">
    <w:name w:val="Title Char"/>
    <w:basedOn w:val="DefaultParagraphFont"/>
    <w:link w:val="Title"/>
    <w:rsid w:val="00EE24F7"/>
    <w:rPr>
      <w:rFonts w:eastAsia="Times New Roman"/>
      <w:sz w:val="28"/>
      <w:lang w:bidi="ar-SA"/>
    </w:rPr>
  </w:style>
  <w:style w:type="paragraph" w:styleId="Header">
    <w:name w:val="header"/>
    <w:basedOn w:val="Normal"/>
    <w:link w:val="HeaderChar"/>
    <w:rsid w:val="00EE24F7"/>
    <w:pPr>
      <w:tabs>
        <w:tab w:val="center" w:pos="4320"/>
        <w:tab w:val="right" w:pos="8640"/>
      </w:tabs>
    </w:pPr>
  </w:style>
  <w:style w:type="character" w:customStyle="1" w:styleId="HeaderChar">
    <w:name w:val="Header Char"/>
    <w:basedOn w:val="DefaultParagraphFont"/>
    <w:link w:val="Header"/>
    <w:rsid w:val="00EE24F7"/>
    <w:rPr>
      <w:rFonts w:eastAsia="Times New Roman"/>
      <w:lang w:bidi="ar-SA"/>
    </w:rPr>
  </w:style>
  <w:style w:type="paragraph" w:styleId="BodyText">
    <w:name w:val="Body Text"/>
    <w:basedOn w:val="Normal"/>
    <w:link w:val="BodyTextChar"/>
    <w:rsid w:val="00EE24F7"/>
    <w:rPr>
      <w:b/>
      <w:bCs/>
    </w:rPr>
  </w:style>
  <w:style w:type="character" w:customStyle="1" w:styleId="BodyTextChar">
    <w:name w:val="Body Text Char"/>
    <w:basedOn w:val="DefaultParagraphFont"/>
    <w:link w:val="BodyText"/>
    <w:rsid w:val="00EE24F7"/>
    <w:rPr>
      <w:rFonts w:eastAsia="Times New Roman"/>
      <w:b/>
      <w:bCs/>
      <w:lang w:bidi="ar-SA"/>
    </w:rPr>
  </w:style>
  <w:style w:type="character" w:styleId="Hyperlink">
    <w:name w:val="Hyperlink"/>
    <w:basedOn w:val="DefaultParagraphFont"/>
    <w:rsid w:val="00EE24F7"/>
    <w:rPr>
      <w:color w:val="0000FF"/>
      <w:u w:val="single"/>
    </w:rPr>
  </w:style>
  <w:style w:type="paragraph" w:styleId="Footer">
    <w:name w:val="footer"/>
    <w:basedOn w:val="Normal"/>
    <w:link w:val="FooterChar"/>
    <w:uiPriority w:val="99"/>
    <w:rsid w:val="00EE24F7"/>
    <w:pPr>
      <w:tabs>
        <w:tab w:val="center" w:pos="4680"/>
        <w:tab w:val="right" w:pos="9360"/>
      </w:tabs>
    </w:pPr>
  </w:style>
  <w:style w:type="character" w:customStyle="1" w:styleId="FooterChar">
    <w:name w:val="Footer Char"/>
    <w:basedOn w:val="DefaultParagraphFont"/>
    <w:link w:val="Footer"/>
    <w:uiPriority w:val="99"/>
    <w:rsid w:val="00EE24F7"/>
    <w:rPr>
      <w:rFonts w:eastAsia="Times New Roman"/>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eanofstudents.arizona.edu/codeofacademicintegrity"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ibrary.arizona.edu/help/tutorials/plagiarism/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TotalTime>
  <Pages>8</Pages>
  <Words>2205</Words>
  <Characters>12575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dc:creator>
  <cp:lastModifiedBy>Gil</cp:lastModifiedBy>
  <cp:revision>59</cp:revision>
  <dcterms:created xsi:type="dcterms:W3CDTF">2011-08-11T21:58:00Z</dcterms:created>
  <dcterms:modified xsi:type="dcterms:W3CDTF">2011-08-18T17:19:00Z</dcterms:modified>
</cp:coreProperties>
</file>